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5759C" w14:textId="77777777" w:rsidR="00A85048" w:rsidRDefault="00143AEB">
      <w:pPr>
        <w:rPr>
          <w:color w:val="000000"/>
          <w:lang w:eastAsia="zh-CN"/>
        </w:rPr>
      </w:pPr>
      <w:r>
        <w:rPr>
          <w:rFonts w:hint="eastAsia"/>
          <w:noProof/>
          <w:color w:val="000000"/>
          <w:lang w:eastAsia="zh-CN"/>
        </w:rPr>
        <w:drawing>
          <wp:anchor distT="0" distB="0" distL="114300" distR="114300" simplePos="0" relativeHeight="251659264" behindDoc="0" locked="0" layoutInCell="1" allowOverlap="1" wp14:anchorId="439F9D8C" wp14:editId="5D6BD11C">
            <wp:simplePos x="0" y="0"/>
            <wp:positionH relativeFrom="page">
              <wp:posOffset>5313680</wp:posOffset>
            </wp:positionH>
            <wp:positionV relativeFrom="page">
              <wp:posOffset>815975</wp:posOffset>
            </wp:positionV>
            <wp:extent cx="956310" cy="872490"/>
            <wp:effectExtent l="0" t="0" r="15240" b="3810"/>
            <wp:wrapNone/>
            <wp:docPr id="4"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logo"/>
                    <pic:cNvPicPr>
                      <a:picLocks noChangeAspect="1"/>
                    </pic:cNvPicPr>
                  </pic:nvPicPr>
                  <pic:blipFill>
                    <a:blip r:embed="rId7">
                      <a:clrChange>
                        <a:clrFrom>
                          <a:srgbClr val="E7F7EA"/>
                        </a:clrFrom>
                        <a:clrTo>
                          <a:srgbClr val="E7F7EA">
                            <a:alpha val="0"/>
                          </a:srgbClr>
                        </a:clrTo>
                      </a:clrChange>
                    </a:blip>
                    <a:stretch>
                      <a:fillRect/>
                    </a:stretch>
                  </pic:blipFill>
                  <pic:spPr>
                    <a:xfrm>
                      <a:off x="0" y="0"/>
                      <a:ext cx="956310" cy="872490"/>
                    </a:xfrm>
                    <a:prstGeom prst="rect">
                      <a:avLst/>
                    </a:prstGeom>
                    <a:noFill/>
                    <a:ln>
                      <a:noFill/>
                    </a:ln>
                  </pic:spPr>
                </pic:pic>
              </a:graphicData>
            </a:graphic>
          </wp:anchor>
        </w:drawing>
      </w:r>
      <w:r>
        <w:rPr>
          <w:color w:val="000000"/>
          <w:lang w:eastAsia="zh-CN"/>
        </w:rPr>
        <w:t>ICS 65.020.30</w:t>
      </w:r>
    </w:p>
    <w:p w14:paraId="5A8DB5F7" w14:textId="77777777" w:rsidR="00A85048" w:rsidRDefault="00143AEB">
      <w:pPr>
        <w:rPr>
          <w:color w:val="000000"/>
          <w:lang w:eastAsia="zh-CN"/>
        </w:rPr>
      </w:pPr>
      <w:r>
        <w:rPr>
          <w:rFonts w:hint="eastAsia"/>
          <w:color w:val="000000"/>
          <w:lang w:eastAsia="zh-CN"/>
        </w:rPr>
        <w:t xml:space="preserve">CCS </w:t>
      </w:r>
      <w:r>
        <w:rPr>
          <w:color w:val="000000"/>
          <w:lang w:eastAsia="zh-CN"/>
        </w:rPr>
        <w:t xml:space="preserve">B44 </w:t>
      </w:r>
    </w:p>
    <w:p w14:paraId="098AABD6" w14:textId="77777777" w:rsidR="00A85048" w:rsidRDefault="00A85048">
      <w:pPr>
        <w:jc w:val="right"/>
        <w:rPr>
          <w:color w:val="000000"/>
          <w:lang w:eastAsia="zh-CN"/>
        </w:rPr>
      </w:pPr>
    </w:p>
    <w:p w14:paraId="27EEE1D2" w14:textId="77777777" w:rsidR="00A85048" w:rsidRDefault="00A85048">
      <w:pPr>
        <w:jc w:val="right"/>
        <w:rPr>
          <w:color w:val="000000"/>
          <w:lang w:eastAsia="zh-CN"/>
        </w:rPr>
      </w:pPr>
    </w:p>
    <w:p w14:paraId="125A0E28" w14:textId="77777777" w:rsidR="00A85048" w:rsidRDefault="00A85048">
      <w:pPr>
        <w:jc w:val="right"/>
        <w:rPr>
          <w:color w:val="000000"/>
          <w:lang w:eastAsia="zh-CN"/>
        </w:rPr>
      </w:pPr>
    </w:p>
    <w:p w14:paraId="23DDD858" w14:textId="77777777" w:rsidR="00A85048" w:rsidRDefault="00A85048">
      <w:pPr>
        <w:jc w:val="right"/>
        <w:rPr>
          <w:color w:val="000000"/>
          <w:lang w:eastAsia="zh-CN"/>
        </w:rPr>
      </w:pPr>
    </w:p>
    <w:p w14:paraId="10C16A35" w14:textId="77777777" w:rsidR="00A85048" w:rsidRDefault="00143AEB">
      <w:pPr>
        <w:jc w:val="distribute"/>
        <w:rPr>
          <w:rFonts w:ascii="微软雅黑" w:eastAsia="微软雅黑" w:hAnsi="微软雅黑" w:cs="微软雅黑" w:hint="eastAsia"/>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67143C9B" w14:textId="77777777" w:rsidR="00A85048" w:rsidRDefault="00A85048">
      <w:pPr>
        <w:rPr>
          <w:color w:val="000000"/>
          <w:lang w:eastAsia="zh-CN"/>
        </w:rPr>
      </w:pPr>
    </w:p>
    <w:p w14:paraId="0E65FFD8" w14:textId="77777777" w:rsidR="00A85048" w:rsidRDefault="00143AEB">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7A14CCC5" w14:textId="77777777" w:rsidR="00A85048" w:rsidRDefault="00143AEB">
      <w:pPr>
        <w:rPr>
          <w:color w:val="000000"/>
          <w:sz w:val="21"/>
          <w:szCs w:val="21"/>
          <w:u w:val="single"/>
          <w:lang w:eastAsia="zh-CN"/>
        </w:rPr>
      </w:pPr>
      <w:r>
        <w:rPr>
          <w:color w:val="000000"/>
          <w:sz w:val="21"/>
          <w:szCs w:val="21"/>
          <w:u w:val="single"/>
          <w:lang w:eastAsia="zh-CN"/>
        </w:rPr>
        <w:t xml:space="preserve">                                                                                           </w:t>
      </w:r>
    </w:p>
    <w:p w14:paraId="0B009077" w14:textId="77777777" w:rsidR="00A85048" w:rsidRDefault="00A85048">
      <w:pPr>
        <w:rPr>
          <w:color w:val="000000"/>
          <w:sz w:val="21"/>
          <w:szCs w:val="21"/>
          <w:lang w:eastAsia="zh-CN"/>
        </w:rPr>
      </w:pPr>
    </w:p>
    <w:p w14:paraId="2FB2D21D" w14:textId="77777777" w:rsidR="00A85048" w:rsidRDefault="00A85048">
      <w:pPr>
        <w:rPr>
          <w:color w:val="000000"/>
          <w:sz w:val="21"/>
          <w:szCs w:val="21"/>
          <w:lang w:eastAsia="zh-CN"/>
        </w:rPr>
      </w:pPr>
    </w:p>
    <w:p w14:paraId="7A3374CE" w14:textId="77777777" w:rsidR="00A85048" w:rsidRDefault="00A85048">
      <w:pPr>
        <w:jc w:val="center"/>
        <w:rPr>
          <w:rFonts w:eastAsia="黑体"/>
          <w:b/>
          <w:bCs/>
          <w:color w:val="000000"/>
          <w:spacing w:val="50"/>
          <w:sz w:val="48"/>
          <w:szCs w:val="48"/>
          <w:lang w:eastAsia="zh-CN"/>
        </w:rPr>
      </w:pPr>
    </w:p>
    <w:p w14:paraId="2314ED9C" w14:textId="30F04291" w:rsidR="00A85048" w:rsidRDefault="00143AEB">
      <w:pPr>
        <w:jc w:val="center"/>
        <w:rPr>
          <w:rFonts w:eastAsia="黑体"/>
          <w:b/>
          <w:bCs/>
          <w:spacing w:val="50"/>
          <w:sz w:val="48"/>
          <w:szCs w:val="48"/>
          <w:lang w:eastAsia="zh-CN"/>
        </w:rPr>
      </w:pPr>
      <w:r>
        <w:rPr>
          <w:rFonts w:eastAsia="黑体"/>
          <w:b/>
          <w:bCs/>
          <w:color w:val="000000"/>
          <w:spacing w:val="50"/>
          <w:sz w:val="48"/>
          <w:szCs w:val="48"/>
          <w:lang w:eastAsia="zh-CN"/>
        </w:rPr>
        <w:t xml:space="preserve"> </w:t>
      </w:r>
      <w:r>
        <w:rPr>
          <w:rFonts w:eastAsia="黑体"/>
          <w:b/>
          <w:bCs/>
          <w:spacing w:val="50"/>
          <w:sz w:val="48"/>
          <w:szCs w:val="48"/>
          <w:lang w:eastAsia="zh-CN"/>
        </w:rPr>
        <w:t>实验动物</w:t>
      </w:r>
      <w:r>
        <w:rPr>
          <w:rFonts w:eastAsia="黑体"/>
          <w:b/>
          <w:bCs/>
          <w:spacing w:val="50"/>
          <w:sz w:val="48"/>
          <w:szCs w:val="48"/>
          <w:lang w:eastAsia="zh-CN"/>
        </w:rPr>
        <w:t xml:space="preserve"> </w:t>
      </w:r>
      <w:r>
        <w:rPr>
          <w:rFonts w:eastAsia="黑体" w:hint="eastAsia"/>
          <w:b/>
          <w:bCs/>
          <w:spacing w:val="50"/>
          <w:sz w:val="48"/>
          <w:szCs w:val="48"/>
          <w:lang w:eastAsia="zh-CN"/>
        </w:rPr>
        <w:t>长爪沙鼠脑缺血再灌注模型</w:t>
      </w:r>
      <w:r w:rsidR="00CD62A0">
        <w:rPr>
          <w:rFonts w:eastAsia="黑体" w:hint="eastAsia"/>
          <w:b/>
          <w:bCs/>
          <w:spacing w:val="50"/>
          <w:sz w:val="48"/>
          <w:szCs w:val="48"/>
          <w:lang w:eastAsia="zh-CN"/>
        </w:rPr>
        <w:t>制备与评价规范</w:t>
      </w:r>
    </w:p>
    <w:p w14:paraId="74EC4D5D" w14:textId="77777777" w:rsidR="00A85048" w:rsidRDefault="00A85048">
      <w:pPr>
        <w:rPr>
          <w:rFonts w:eastAsia="黑体"/>
          <w:spacing w:val="40"/>
          <w:sz w:val="21"/>
          <w:szCs w:val="21"/>
          <w:lang w:eastAsia="zh-CN"/>
        </w:rPr>
      </w:pPr>
    </w:p>
    <w:p w14:paraId="2860E4DE" w14:textId="091A647B" w:rsidR="00A85048" w:rsidRDefault="00143AEB">
      <w:pPr>
        <w:jc w:val="center"/>
        <w:rPr>
          <w:lang w:eastAsia="zh-CN"/>
        </w:rPr>
      </w:pPr>
      <w:r>
        <w:rPr>
          <w:color w:val="000000"/>
        </w:rPr>
        <w:t>Laboratory animal</w:t>
      </w:r>
      <w:r>
        <w:rPr>
          <w:rFonts w:hint="eastAsia"/>
          <w:color w:val="000000"/>
          <w:lang w:eastAsia="zh-CN"/>
        </w:rPr>
        <w:t xml:space="preserve"> --</w:t>
      </w:r>
      <w:r w:rsidR="00CD62A0" w:rsidRPr="00CD62A0">
        <w:rPr>
          <w:color w:val="000000"/>
          <w:lang w:eastAsia="zh-CN"/>
        </w:rPr>
        <w:t>Standard for Establishing and Assessing</w:t>
      </w:r>
      <w:r>
        <w:rPr>
          <w:rFonts w:hint="eastAsia"/>
        </w:rPr>
        <w:t xml:space="preserve"> </w:t>
      </w:r>
      <w:r w:rsidR="00CD62A0">
        <w:t>C</w:t>
      </w:r>
      <w:r w:rsidR="00CD62A0">
        <w:rPr>
          <w:rFonts w:hint="eastAsia"/>
        </w:rPr>
        <w:t xml:space="preserve">erebral </w:t>
      </w:r>
      <w:r w:rsidR="00CD62A0">
        <w:t>I</w:t>
      </w:r>
      <w:r w:rsidR="00CD62A0">
        <w:rPr>
          <w:rFonts w:hint="eastAsia"/>
        </w:rPr>
        <w:t>schemia</w:t>
      </w:r>
      <w:r w:rsidR="00CD62A0">
        <w:rPr>
          <w:rFonts w:hint="eastAsia"/>
          <w:lang w:eastAsia="zh-CN"/>
        </w:rPr>
        <w:t xml:space="preserve"> </w:t>
      </w:r>
      <w:r w:rsidR="00CD62A0">
        <w:t>R</w:t>
      </w:r>
      <w:r w:rsidR="00CD62A0">
        <w:rPr>
          <w:rFonts w:hint="eastAsia"/>
        </w:rPr>
        <w:t xml:space="preserve">eperfusion </w:t>
      </w:r>
      <w:r w:rsidR="00CD62A0">
        <w:t>M</w:t>
      </w:r>
      <w:r w:rsidR="00CD62A0">
        <w:rPr>
          <w:rFonts w:hint="eastAsia"/>
        </w:rPr>
        <w:t xml:space="preserve">odel </w:t>
      </w:r>
      <w:r>
        <w:rPr>
          <w:rFonts w:hint="eastAsia"/>
        </w:rPr>
        <w:t xml:space="preserve">in </w:t>
      </w:r>
      <w:r>
        <w:rPr>
          <w:rFonts w:hint="eastAsia"/>
          <w:lang w:eastAsia="zh-CN"/>
        </w:rPr>
        <w:t>Mongolian</w:t>
      </w:r>
      <w:r>
        <w:rPr>
          <w:rFonts w:hint="eastAsia"/>
        </w:rPr>
        <w:t xml:space="preserve"> </w:t>
      </w:r>
      <w:r w:rsidR="00CD62A0">
        <w:t>G</w:t>
      </w:r>
      <w:r w:rsidR="00CD62A0">
        <w:rPr>
          <w:rFonts w:hint="eastAsia"/>
        </w:rPr>
        <w:t>erbils</w:t>
      </w:r>
    </w:p>
    <w:p w14:paraId="2838EAB2" w14:textId="77777777" w:rsidR="00A85048" w:rsidRDefault="00143AEB">
      <w:pPr>
        <w:jc w:val="center"/>
        <w:rPr>
          <w:sz w:val="28"/>
          <w:szCs w:val="28"/>
          <w:lang w:eastAsia="zh-CN"/>
        </w:rPr>
      </w:pPr>
      <w:r>
        <w:rPr>
          <w:rFonts w:hint="eastAsia"/>
          <w:sz w:val="28"/>
          <w:szCs w:val="28"/>
          <w:lang w:eastAsia="zh-CN"/>
        </w:rPr>
        <w:t>（征求意见稿）</w:t>
      </w:r>
    </w:p>
    <w:p w14:paraId="2A908489" w14:textId="77777777" w:rsidR="00A85048" w:rsidRDefault="00A85048">
      <w:pPr>
        <w:jc w:val="center"/>
        <w:rPr>
          <w:color w:val="000000"/>
          <w:sz w:val="21"/>
          <w:szCs w:val="21"/>
          <w:lang w:eastAsia="zh-CN"/>
        </w:rPr>
      </w:pPr>
    </w:p>
    <w:p w14:paraId="05393565" w14:textId="77777777" w:rsidR="00A85048" w:rsidRDefault="00A85048">
      <w:pPr>
        <w:rPr>
          <w:color w:val="000000"/>
          <w:sz w:val="21"/>
          <w:szCs w:val="21"/>
          <w:lang w:eastAsia="zh-CN"/>
        </w:rPr>
      </w:pPr>
    </w:p>
    <w:p w14:paraId="7EC20AF3" w14:textId="77777777" w:rsidR="00A85048" w:rsidRDefault="00A85048">
      <w:pPr>
        <w:rPr>
          <w:color w:val="000000"/>
          <w:sz w:val="21"/>
          <w:szCs w:val="21"/>
          <w:lang w:eastAsia="zh-CN"/>
        </w:rPr>
      </w:pPr>
    </w:p>
    <w:p w14:paraId="752B135F" w14:textId="77777777" w:rsidR="00A85048" w:rsidRDefault="00A85048">
      <w:pPr>
        <w:rPr>
          <w:color w:val="000000"/>
          <w:sz w:val="21"/>
          <w:szCs w:val="21"/>
          <w:lang w:eastAsia="zh-CN"/>
        </w:rPr>
      </w:pPr>
    </w:p>
    <w:p w14:paraId="10931089" w14:textId="77777777" w:rsidR="00A85048" w:rsidRDefault="00A85048">
      <w:pPr>
        <w:rPr>
          <w:color w:val="000000"/>
          <w:sz w:val="21"/>
          <w:szCs w:val="21"/>
          <w:lang w:eastAsia="zh-CN"/>
        </w:rPr>
      </w:pPr>
    </w:p>
    <w:p w14:paraId="74EE1655" w14:textId="77777777" w:rsidR="00A85048" w:rsidRDefault="00A85048">
      <w:pPr>
        <w:rPr>
          <w:color w:val="000000"/>
          <w:sz w:val="21"/>
          <w:szCs w:val="21"/>
          <w:lang w:eastAsia="zh-CN"/>
        </w:rPr>
      </w:pPr>
    </w:p>
    <w:p w14:paraId="6CDBAE6A" w14:textId="77777777" w:rsidR="00A85048" w:rsidRDefault="00A85048">
      <w:pPr>
        <w:rPr>
          <w:color w:val="000000"/>
          <w:sz w:val="21"/>
          <w:szCs w:val="21"/>
          <w:lang w:eastAsia="zh-CN"/>
        </w:rPr>
      </w:pPr>
    </w:p>
    <w:p w14:paraId="42BF1C4F" w14:textId="77777777" w:rsidR="00A85048" w:rsidRDefault="00A85048">
      <w:pPr>
        <w:rPr>
          <w:color w:val="000000"/>
          <w:sz w:val="21"/>
          <w:szCs w:val="21"/>
          <w:lang w:eastAsia="zh-CN"/>
        </w:rPr>
      </w:pPr>
    </w:p>
    <w:p w14:paraId="19EFC040" w14:textId="5D5F28D6" w:rsidR="00A85048" w:rsidRDefault="00A85048">
      <w:pPr>
        <w:rPr>
          <w:color w:val="000000"/>
          <w:sz w:val="21"/>
          <w:szCs w:val="21"/>
          <w:lang w:eastAsia="zh-CN"/>
        </w:rPr>
      </w:pPr>
    </w:p>
    <w:p w14:paraId="26AE86C4" w14:textId="77777777" w:rsidR="00CD62A0" w:rsidRDefault="00CD62A0">
      <w:pPr>
        <w:rPr>
          <w:color w:val="000000"/>
          <w:sz w:val="21"/>
          <w:szCs w:val="21"/>
          <w:lang w:eastAsia="zh-CN"/>
        </w:rPr>
      </w:pPr>
    </w:p>
    <w:p w14:paraId="1DAF063C" w14:textId="77777777" w:rsidR="00A85048" w:rsidRDefault="00143AEB">
      <w:pPr>
        <w:pBdr>
          <w:bottom w:val="single" w:sz="12" w:space="6" w:color="000000"/>
        </w:pBdr>
        <w:jc w:val="center"/>
        <w:rPr>
          <w:rFonts w:ascii="黑体" w:eastAsia="黑体" w:hAnsi="黑体" w:cs="黑体" w:hint="eastAsia"/>
          <w:color w:val="000000"/>
          <w:sz w:val="28"/>
          <w:szCs w:val="28"/>
          <w:lang w:eastAsia="zh-CN"/>
        </w:rPr>
      </w:pPr>
      <w:r>
        <w:rPr>
          <w:rFonts w:eastAsia="黑体"/>
          <w:color w:val="000000"/>
          <w:sz w:val="28"/>
          <w:szCs w:val="28"/>
          <w:lang w:eastAsia="zh-CN"/>
        </w:rPr>
        <w:t>202x-xx-xx</w:t>
      </w:r>
      <w:r>
        <w:rPr>
          <w:rFonts w:ascii="黑体" w:eastAsia="黑体" w:hAnsi="黑体" w:cs="黑体" w:hint="eastAsia"/>
          <w:color w:val="000000"/>
          <w:sz w:val="28"/>
          <w:szCs w:val="28"/>
          <w:lang w:eastAsia="zh-CN"/>
        </w:rPr>
        <w:t xml:space="preserve">  发布                        </w:t>
      </w:r>
      <w:r>
        <w:rPr>
          <w:rFonts w:eastAsia="黑体"/>
          <w:color w:val="000000"/>
          <w:sz w:val="28"/>
          <w:szCs w:val="28"/>
          <w:lang w:eastAsia="zh-CN"/>
        </w:rPr>
        <w:t xml:space="preserve">  202x-xx-xx</w:t>
      </w:r>
      <w:r>
        <w:rPr>
          <w:rFonts w:ascii="黑体" w:eastAsia="黑体" w:hAnsi="黑体" w:cs="黑体" w:hint="eastAsia"/>
          <w:color w:val="000000"/>
          <w:sz w:val="28"/>
          <w:szCs w:val="28"/>
          <w:lang w:eastAsia="zh-CN"/>
        </w:rPr>
        <w:t xml:space="preserve">  实施</w:t>
      </w:r>
    </w:p>
    <w:p w14:paraId="5E8EDB00" w14:textId="77777777" w:rsidR="00A85048" w:rsidRDefault="00A85048">
      <w:pPr>
        <w:jc w:val="center"/>
        <w:rPr>
          <w:rFonts w:eastAsia="仿宋_GB2312"/>
          <w:color w:val="000000"/>
          <w:w w:val="150"/>
          <w:sz w:val="21"/>
          <w:szCs w:val="21"/>
          <w:lang w:eastAsia="zh-CN"/>
        </w:rPr>
      </w:pPr>
    </w:p>
    <w:tbl>
      <w:tblPr>
        <w:tblW w:w="0" w:type="auto"/>
        <w:jc w:val="center"/>
        <w:tblLayout w:type="fixed"/>
        <w:tblLook w:val="04A0" w:firstRow="1" w:lastRow="0" w:firstColumn="1" w:lastColumn="0" w:noHBand="0" w:noVBand="1"/>
      </w:tblPr>
      <w:tblGrid>
        <w:gridCol w:w="6637"/>
        <w:gridCol w:w="964"/>
      </w:tblGrid>
      <w:tr w:rsidR="00A85048" w14:paraId="601A6C68" w14:textId="77777777">
        <w:trPr>
          <w:trHeight w:val="832"/>
          <w:jc w:val="center"/>
        </w:trPr>
        <w:tc>
          <w:tcPr>
            <w:tcW w:w="6637" w:type="dxa"/>
          </w:tcPr>
          <w:p w14:paraId="2974797A" w14:textId="77777777" w:rsidR="00A85048" w:rsidRDefault="00143AEB">
            <w:pPr>
              <w:pStyle w:val="a6"/>
              <w:jc w:val="center"/>
              <w:rPr>
                <w:rFonts w:ascii="Times New Roman" w:eastAsia="仿宋_GB2312" w:hAnsi="Times New Roman"/>
                <w:color w:val="000000"/>
                <w:w w:val="150"/>
                <w:lang w:eastAsia="zh-CN" w:bidi="en-US"/>
              </w:rPr>
            </w:pPr>
            <w:r>
              <w:rPr>
                <w:rFonts w:ascii="黑体" w:eastAsia="黑体" w:hAnsi="黑体" w:cs="黑体" w:hint="eastAsia"/>
                <w:color w:val="000000"/>
                <w:w w:val="150"/>
                <w:sz w:val="32"/>
                <w:szCs w:val="32"/>
                <w:lang w:eastAsia="zh-CN" w:bidi="en-US"/>
              </w:rPr>
              <w:t>中国实验动物学会 发布</w:t>
            </w:r>
          </w:p>
        </w:tc>
        <w:tc>
          <w:tcPr>
            <w:tcW w:w="964" w:type="dxa"/>
            <w:vAlign w:val="center"/>
          </w:tcPr>
          <w:p w14:paraId="7464F510" w14:textId="77777777" w:rsidR="00A85048" w:rsidRDefault="00A85048">
            <w:pPr>
              <w:pStyle w:val="a6"/>
              <w:rPr>
                <w:rFonts w:ascii="Times New Roman" w:eastAsia="仿宋_GB2312" w:hAnsi="Times New Roman"/>
                <w:color w:val="000000"/>
                <w:w w:val="150"/>
                <w:lang w:eastAsia="zh-CN" w:bidi="en-US"/>
              </w:rPr>
            </w:pPr>
          </w:p>
        </w:tc>
      </w:tr>
    </w:tbl>
    <w:p w14:paraId="70BDCCE3" w14:textId="77777777" w:rsidR="00A85048" w:rsidRDefault="00A85048">
      <w:pPr>
        <w:jc w:val="center"/>
        <w:rPr>
          <w:rFonts w:eastAsia="仿宋_GB2312"/>
          <w:color w:val="000000"/>
          <w:w w:val="150"/>
          <w:sz w:val="21"/>
          <w:szCs w:val="21"/>
          <w:lang w:eastAsia="zh-CN"/>
        </w:rPr>
      </w:pPr>
    </w:p>
    <w:p w14:paraId="3C6A0B03" w14:textId="77777777" w:rsidR="00A85048" w:rsidRDefault="00A85048">
      <w:pPr>
        <w:jc w:val="center"/>
        <w:rPr>
          <w:rFonts w:eastAsia="黑体"/>
          <w:color w:val="000000"/>
          <w:sz w:val="21"/>
          <w:szCs w:val="21"/>
          <w:lang w:eastAsia="zh-CN"/>
        </w:rPr>
        <w:sectPr w:rsidR="00A85048">
          <w:headerReference w:type="even" r:id="rId8"/>
          <w:headerReference w:type="default" r:id="rId9"/>
          <w:footerReference w:type="default" r:id="rId10"/>
          <w:headerReference w:type="first" r:id="rId11"/>
          <w:footerReference w:type="first" r:id="rId12"/>
          <w:pgSz w:w="11906" w:h="16838"/>
          <w:pgMar w:top="1440" w:right="1797" w:bottom="1440" w:left="1797" w:header="851" w:footer="992" w:gutter="0"/>
          <w:pgNumType w:start="0"/>
          <w:cols w:space="720"/>
          <w:titlePg/>
          <w:docGrid w:type="linesAndChars" w:linePitch="312"/>
        </w:sectPr>
      </w:pPr>
    </w:p>
    <w:p w14:paraId="4B355751" w14:textId="77777777" w:rsidR="00A85048" w:rsidRDefault="00143AEB">
      <w:pPr>
        <w:jc w:val="center"/>
        <w:rPr>
          <w:rFonts w:eastAsia="黑体"/>
          <w:color w:val="000000"/>
          <w:sz w:val="21"/>
          <w:szCs w:val="21"/>
          <w:lang w:eastAsia="zh-CN"/>
        </w:rPr>
      </w:pPr>
      <w:r>
        <w:rPr>
          <w:rFonts w:eastAsia="黑体"/>
          <w:color w:val="000000"/>
          <w:sz w:val="21"/>
          <w:szCs w:val="21"/>
          <w:lang w:eastAsia="zh-CN"/>
        </w:rPr>
        <w:lastRenderedPageBreak/>
        <w:t>前</w:t>
      </w:r>
      <w:r>
        <w:rPr>
          <w:rFonts w:eastAsia="黑体"/>
          <w:color w:val="000000"/>
          <w:sz w:val="21"/>
          <w:szCs w:val="21"/>
          <w:lang w:eastAsia="zh-CN"/>
        </w:rPr>
        <w:t xml:space="preserve">  </w:t>
      </w:r>
      <w:r>
        <w:rPr>
          <w:rFonts w:eastAsia="黑体"/>
          <w:color w:val="000000"/>
          <w:sz w:val="21"/>
          <w:szCs w:val="21"/>
          <w:lang w:eastAsia="zh-CN"/>
        </w:rPr>
        <w:t>言</w:t>
      </w:r>
    </w:p>
    <w:p w14:paraId="5863A779" w14:textId="77777777" w:rsidR="00A85048" w:rsidRDefault="00A85048">
      <w:pPr>
        <w:rPr>
          <w:color w:val="000000"/>
          <w:sz w:val="21"/>
          <w:szCs w:val="21"/>
          <w:lang w:eastAsia="zh-CN"/>
        </w:rPr>
      </w:pPr>
    </w:p>
    <w:p w14:paraId="021CC020" w14:textId="77777777" w:rsidR="00A85048" w:rsidRDefault="00143AEB">
      <w:pPr>
        <w:pStyle w:val="a5"/>
        <w:spacing w:line="360" w:lineRule="auto"/>
        <w:ind w:firstLine="437"/>
        <w:rPr>
          <w:rFonts w:ascii="Times New Roman" w:hAnsi="Times New Roman" w:cs="Times New Roman"/>
          <w:lang w:eastAsia="zh-CN"/>
        </w:rPr>
      </w:pPr>
      <w:r>
        <w:rPr>
          <w:rFonts w:ascii="Times New Roman" w:hAnsi="Times New Roman" w:cs="Times New Roman"/>
          <w:lang w:eastAsia="zh-CN"/>
        </w:rPr>
        <w:t>本文件按照</w:t>
      </w:r>
      <w:r>
        <w:rPr>
          <w:rFonts w:ascii="Times New Roman" w:hAnsi="Times New Roman" w:cs="Times New Roman"/>
          <w:lang w:eastAsia="zh-CN"/>
        </w:rPr>
        <w:t>GB/T 1.1</w:t>
      </w:r>
      <w:r>
        <w:rPr>
          <w:rFonts w:ascii="Times New Roman" w:hAnsi="Times New Roman" w:cs="Times New Roman"/>
          <w:spacing w:val="-4"/>
          <w:lang w:eastAsia="zh-CN"/>
        </w:rPr>
        <w:t>—</w:t>
      </w:r>
      <w:r>
        <w:rPr>
          <w:rFonts w:ascii="Times New Roman" w:hAnsi="Times New Roman" w:cs="Times New Roman"/>
          <w:lang w:eastAsia="zh-CN"/>
        </w:rPr>
        <w:t>2020</w:t>
      </w:r>
      <w:r>
        <w:rPr>
          <w:rFonts w:ascii="Times New Roman" w:hAnsi="Times New Roman" w:cs="Times New Roman"/>
          <w:lang w:eastAsia="zh-CN"/>
        </w:rPr>
        <w:t>《标准化工作导则</w:t>
      </w:r>
      <w:r>
        <w:rPr>
          <w:rFonts w:ascii="Times New Roman" w:hAnsi="Times New Roman" w:cs="Times New Roman"/>
          <w:lang w:eastAsia="zh-CN"/>
        </w:rPr>
        <w:t xml:space="preserve">  </w:t>
      </w:r>
      <w:r>
        <w:rPr>
          <w:rFonts w:ascii="Times New Roman" w:hAnsi="Times New Roman" w:cs="Times New Roman"/>
          <w:lang w:eastAsia="zh-CN"/>
        </w:rPr>
        <w:t>第</w:t>
      </w:r>
      <w:r>
        <w:rPr>
          <w:rFonts w:ascii="Times New Roman" w:hAnsi="Times New Roman" w:cs="Times New Roman"/>
          <w:lang w:eastAsia="zh-CN"/>
        </w:rPr>
        <w:t>1</w:t>
      </w:r>
      <w:r>
        <w:rPr>
          <w:rFonts w:ascii="Times New Roman" w:hAnsi="Times New Roman" w:cs="Times New Roman"/>
          <w:lang w:eastAsia="zh-CN"/>
        </w:rPr>
        <w:t>部分：标准化文件的结构和起草规则》的规定起草。</w:t>
      </w:r>
    </w:p>
    <w:p w14:paraId="24034612" w14:textId="77777777" w:rsidR="00A85048" w:rsidRDefault="00143AEB">
      <w:pPr>
        <w:pStyle w:val="a5"/>
        <w:spacing w:line="360" w:lineRule="auto"/>
        <w:ind w:firstLine="437"/>
        <w:rPr>
          <w:rFonts w:ascii="Times New Roman" w:hAnsi="Times New Roman" w:cs="Times New Roman"/>
          <w:color w:val="000000"/>
          <w:lang w:eastAsia="zh-CN"/>
        </w:rPr>
      </w:pPr>
      <w:r>
        <w:rPr>
          <w:rFonts w:ascii="Times New Roman" w:hAnsi="Times New Roman" w:cs="Times New Roman"/>
          <w:color w:val="000000"/>
          <w:lang w:eastAsia="zh-CN"/>
        </w:rPr>
        <w:t>请注意本文件的某些内容可能涉及专利。本文件的发布机构不承担识别专利的责任。</w:t>
      </w:r>
    </w:p>
    <w:p w14:paraId="2CA3EE18" w14:textId="77777777" w:rsidR="00A85048" w:rsidRDefault="00143AEB">
      <w:pPr>
        <w:spacing w:line="360" w:lineRule="auto"/>
        <w:ind w:firstLine="435"/>
        <w:rPr>
          <w:color w:val="000000"/>
          <w:sz w:val="21"/>
          <w:szCs w:val="21"/>
          <w:lang w:eastAsia="zh-CN"/>
        </w:rPr>
      </w:pPr>
      <w:r>
        <w:rPr>
          <w:color w:val="000000"/>
          <w:sz w:val="21"/>
          <w:szCs w:val="21"/>
          <w:lang w:eastAsia="zh-CN"/>
        </w:rPr>
        <w:t>本文件由中国实验动物学会归口。</w:t>
      </w:r>
    </w:p>
    <w:p w14:paraId="27F1D920" w14:textId="77777777" w:rsidR="00A85048" w:rsidRDefault="00143AEB">
      <w:pPr>
        <w:spacing w:line="360" w:lineRule="auto"/>
        <w:ind w:firstLine="435"/>
        <w:rPr>
          <w:color w:val="000000"/>
          <w:sz w:val="21"/>
          <w:szCs w:val="21"/>
          <w:lang w:eastAsia="zh-CN"/>
        </w:rPr>
      </w:pPr>
      <w:r>
        <w:rPr>
          <w:color w:val="000000"/>
          <w:sz w:val="21"/>
          <w:szCs w:val="21"/>
          <w:lang w:eastAsia="zh-CN"/>
        </w:rPr>
        <w:t>本文件由全国实验动物标准化技术委员会（</w:t>
      </w:r>
      <w:r>
        <w:rPr>
          <w:color w:val="000000"/>
          <w:sz w:val="21"/>
          <w:szCs w:val="21"/>
          <w:lang w:eastAsia="zh-CN"/>
        </w:rPr>
        <w:t>SAC/TC281</w:t>
      </w:r>
      <w:r>
        <w:rPr>
          <w:color w:val="000000"/>
          <w:sz w:val="21"/>
          <w:szCs w:val="21"/>
          <w:lang w:eastAsia="zh-CN"/>
        </w:rPr>
        <w:t>）技术审查。</w:t>
      </w:r>
    </w:p>
    <w:p w14:paraId="04236244" w14:textId="77777777" w:rsidR="00A85048" w:rsidRDefault="00143AEB">
      <w:pPr>
        <w:spacing w:line="360" w:lineRule="auto"/>
        <w:ind w:firstLine="435"/>
        <w:rPr>
          <w:color w:val="000000"/>
          <w:sz w:val="21"/>
          <w:szCs w:val="21"/>
          <w:lang w:eastAsia="zh-CN"/>
        </w:rPr>
      </w:pPr>
      <w:r>
        <w:rPr>
          <w:color w:val="000000"/>
          <w:sz w:val="21"/>
          <w:szCs w:val="21"/>
          <w:lang w:eastAsia="zh-CN"/>
        </w:rPr>
        <w:t>本文件由中国实验动物学会实验动物标准化专业委员会提出并组织起草。</w:t>
      </w:r>
    </w:p>
    <w:p w14:paraId="5C7D82AC" w14:textId="77777777" w:rsidR="00A85048" w:rsidRDefault="00143AEB">
      <w:pPr>
        <w:spacing w:line="360" w:lineRule="auto"/>
        <w:ind w:firstLineChars="200" w:firstLine="420"/>
        <w:rPr>
          <w:sz w:val="21"/>
          <w:szCs w:val="21"/>
          <w:lang w:eastAsia="zh-CN"/>
        </w:rPr>
      </w:pPr>
      <w:r>
        <w:rPr>
          <w:sz w:val="21"/>
          <w:szCs w:val="21"/>
          <w:lang w:eastAsia="zh-CN"/>
        </w:rPr>
        <w:t>本标准起草单位：首都医科大学基础医学院、中国农业大学动物医学院</w:t>
      </w:r>
    </w:p>
    <w:p w14:paraId="560AF49F" w14:textId="16DCBAD7" w:rsidR="00A85048" w:rsidRDefault="00143AEB">
      <w:pPr>
        <w:spacing w:line="360" w:lineRule="auto"/>
        <w:ind w:firstLine="442"/>
        <w:jc w:val="both"/>
        <w:rPr>
          <w:sz w:val="21"/>
          <w:szCs w:val="21"/>
          <w:vertAlign w:val="superscript"/>
          <w:lang w:eastAsia="zh-CN"/>
        </w:rPr>
      </w:pPr>
      <w:r>
        <w:rPr>
          <w:sz w:val="21"/>
          <w:szCs w:val="21"/>
          <w:lang w:eastAsia="zh-CN"/>
        </w:rPr>
        <w:t>本标准主要起草人：杜小燕、伍颖、陈振文、</w:t>
      </w:r>
      <w:r w:rsidR="00A06347">
        <w:rPr>
          <w:sz w:val="21"/>
          <w:szCs w:val="21"/>
          <w:lang w:eastAsia="zh-CN"/>
        </w:rPr>
        <w:t>霍学云、</w:t>
      </w:r>
      <w:r>
        <w:rPr>
          <w:sz w:val="21"/>
          <w:szCs w:val="21"/>
          <w:lang w:eastAsia="zh-CN"/>
        </w:rPr>
        <w:t>胡彩姣、李芝卉、吕建祎、郭萌、刘欣、杨利峰、赵德明、李长龙、曹立雪</w:t>
      </w:r>
    </w:p>
    <w:p w14:paraId="7D57666D" w14:textId="77777777" w:rsidR="00A85048" w:rsidRDefault="00143AEB">
      <w:pPr>
        <w:rPr>
          <w:lang w:eastAsia="zh-CN"/>
        </w:rPr>
      </w:pPr>
      <w:r>
        <w:rPr>
          <w:lang w:eastAsia="zh-CN"/>
        </w:rPr>
        <w:br w:type="page"/>
      </w:r>
    </w:p>
    <w:p w14:paraId="1D016EAB" w14:textId="5F7431B5" w:rsidR="00A85048" w:rsidRDefault="00143AEB">
      <w:pPr>
        <w:jc w:val="center"/>
        <w:rPr>
          <w:rFonts w:ascii="黑体" w:eastAsia="黑体" w:hAnsi="黑体" w:cs="黑体" w:hint="eastAsia"/>
          <w:color w:val="000000"/>
          <w:sz w:val="32"/>
          <w:szCs w:val="32"/>
          <w:lang w:eastAsia="zh-CN"/>
        </w:rPr>
      </w:pPr>
      <w:r>
        <w:rPr>
          <w:rFonts w:ascii="黑体" w:eastAsia="黑体" w:hAnsi="黑体" w:cs="黑体" w:hint="eastAsia"/>
          <w:spacing w:val="50"/>
          <w:sz w:val="32"/>
          <w:szCs w:val="32"/>
          <w:lang w:eastAsia="zh-CN"/>
        </w:rPr>
        <w:lastRenderedPageBreak/>
        <w:t>实验动物 长爪沙鼠脑缺血再灌注模型</w:t>
      </w:r>
      <w:r w:rsidR="00CD62A0">
        <w:rPr>
          <w:rFonts w:ascii="黑体" w:eastAsia="黑体" w:hAnsi="黑体" w:cs="黑体" w:hint="eastAsia"/>
          <w:spacing w:val="50"/>
          <w:sz w:val="32"/>
          <w:szCs w:val="32"/>
          <w:lang w:eastAsia="zh-CN"/>
        </w:rPr>
        <w:t>制备与评价规范</w:t>
      </w:r>
      <w:r>
        <w:rPr>
          <w:rFonts w:ascii="黑体" w:eastAsia="黑体" w:hAnsi="黑体" w:cs="黑体" w:hint="eastAsia"/>
          <w:color w:val="000000"/>
          <w:spacing w:val="40"/>
          <w:sz w:val="32"/>
          <w:szCs w:val="32"/>
          <w:lang w:eastAsia="zh-CN"/>
        </w:rPr>
        <w:t xml:space="preserve"> </w:t>
      </w:r>
    </w:p>
    <w:p w14:paraId="5AFF4E64" w14:textId="77777777" w:rsidR="00A85048" w:rsidRDefault="00A85048">
      <w:pPr>
        <w:ind w:firstLineChars="200" w:firstLine="422"/>
        <w:rPr>
          <w:b/>
          <w:bCs/>
          <w:color w:val="000000"/>
          <w:sz w:val="21"/>
          <w:szCs w:val="21"/>
          <w:lang w:eastAsia="zh-CN"/>
        </w:rPr>
      </w:pPr>
    </w:p>
    <w:p w14:paraId="0F6F3BFB" w14:textId="77777777" w:rsidR="00A85048" w:rsidRDefault="00143AEB">
      <w:pPr>
        <w:spacing w:beforeLines="50" w:before="156" w:afterLines="50" w:after="156"/>
        <w:rPr>
          <w:rFonts w:ascii="黑体" w:eastAsia="黑体" w:hAnsi="黑体" w:cs="黑体" w:hint="eastAsia"/>
          <w:color w:val="000000"/>
          <w:sz w:val="21"/>
          <w:szCs w:val="21"/>
          <w:lang w:eastAsia="zh-CN"/>
        </w:rPr>
      </w:pPr>
      <w:r>
        <w:rPr>
          <w:rFonts w:ascii="黑体" w:eastAsia="黑体" w:hAnsi="黑体" w:cs="黑体" w:hint="eastAsia"/>
          <w:color w:val="000000"/>
          <w:sz w:val="21"/>
          <w:szCs w:val="21"/>
          <w:lang w:eastAsia="zh-CN"/>
        </w:rPr>
        <w:t>1  范围</w:t>
      </w:r>
    </w:p>
    <w:p w14:paraId="395CC402" w14:textId="77777777" w:rsidR="00A85048" w:rsidRDefault="00143AEB">
      <w:pPr>
        <w:spacing w:line="360" w:lineRule="auto"/>
        <w:ind w:firstLineChars="200" w:firstLine="420"/>
        <w:rPr>
          <w:sz w:val="21"/>
          <w:szCs w:val="21"/>
          <w:lang w:eastAsia="zh-CN"/>
        </w:rPr>
      </w:pPr>
      <w:r>
        <w:rPr>
          <w:sz w:val="21"/>
          <w:szCs w:val="21"/>
          <w:lang w:eastAsia="zh-CN"/>
        </w:rPr>
        <w:t>本标准明确了长爪沙鼠脑缺血再灌注（</w:t>
      </w:r>
      <w:r>
        <w:rPr>
          <w:sz w:val="21"/>
          <w:szCs w:val="21"/>
          <w:lang w:eastAsia="zh-CN"/>
        </w:rPr>
        <w:t>I/R</w:t>
      </w:r>
      <w:r>
        <w:rPr>
          <w:sz w:val="21"/>
          <w:szCs w:val="21"/>
          <w:lang w:eastAsia="zh-CN"/>
        </w:rPr>
        <w:t>）模型制备标准流程；</w:t>
      </w:r>
    </w:p>
    <w:p w14:paraId="36D84091" w14:textId="72CDD2E2" w:rsidR="00A85048" w:rsidRDefault="00143AEB">
      <w:pPr>
        <w:spacing w:line="360" w:lineRule="auto"/>
        <w:ind w:firstLineChars="200" w:firstLine="420"/>
        <w:rPr>
          <w:sz w:val="21"/>
          <w:szCs w:val="21"/>
          <w:lang w:eastAsia="zh-CN"/>
        </w:rPr>
      </w:pPr>
      <w:r>
        <w:rPr>
          <w:sz w:val="21"/>
          <w:szCs w:val="21"/>
          <w:lang w:eastAsia="zh-CN"/>
        </w:rPr>
        <w:t>本标准拟定了长爪沙鼠</w:t>
      </w:r>
      <w:r>
        <w:rPr>
          <w:sz w:val="21"/>
          <w:szCs w:val="21"/>
          <w:lang w:eastAsia="zh-CN"/>
        </w:rPr>
        <w:t>I/R</w:t>
      </w:r>
      <w:r>
        <w:rPr>
          <w:sz w:val="21"/>
          <w:szCs w:val="21"/>
          <w:lang w:eastAsia="zh-CN"/>
        </w:rPr>
        <w:t>模型的评价</w:t>
      </w:r>
      <w:r w:rsidR="006C24BE">
        <w:rPr>
          <w:rFonts w:hint="eastAsia"/>
          <w:sz w:val="21"/>
          <w:szCs w:val="21"/>
          <w:lang w:eastAsia="zh-CN"/>
        </w:rPr>
        <w:t>规范</w:t>
      </w:r>
      <w:r>
        <w:rPr>
          <w:sz w:val="21"/>
          <w:szCs w:val="21"/>
          <w:lang w:eastAsia="zh-CN"/>
        </w:rPr>
        <w:t>。</w:t>
      </w:r>
    </w:p>
    <w:p w14:paraId="2131CB3A" w14:textId="77777777" w:rsidR="00A85048" w:rsidRDefault="00143AEB">
      <w:pPr>
        <w:spacing w:beforeLines="50" w:before="156" w:afterLines="50" w:after="156"/>
        <w:rPr>
          <w:rFonts w:ascii="黑体" w:eastAsia="黑体" w:hAnsi="黑体" w:cs="黑体" w:hint="eastAsia"/>
          <w:color w:val="000000"/>
          <w:sz w:val="21"/>
          <w:szCs w:val="21"/>
          <w:lang w:eastAsia="zh-CN"/>
        </w:rPr>
      </w:pPr>
      <w:r>
        <w:rPr>
          <w:rFonts w:ascii="黑体" w:eastAsia="黑体" w:hAnsi="黑体" w:cs="黑体" w:hint="eastAsia"/>
          <w:color w:val="000000"/>
          <w:sz w:val="21"/>
          <w:szCs w:val="21"/>
          <w:lang w:eastAsia="zh-CN"/>
        </w:rPr>
        <w:t>2  规范性引用文件</w:t>
      </w:r>
    </w:p>
    <w:p w14:paraId="0E4E2DAA" w14:textId="77777777" w:rsidR="00A85048" w:rsidRDefault="00143AEB">
      <w:pPr>
        <w:pStyle w:val="Default"/>
        <w:spacing w:line="360" w:lineRule="auto"/>
        <w:ind w:firstLineChars="200" w:firstLine="420"/>
        <w:rPr>
          <w:rFonts w:ascii="Times New Roman" w:hAnsi="Times New Roman" w:cs="Times New Roman"/>
          <w:color w:val="auto"/>
          <w:sz w:val="21"/>
          <w:szCs w:val="21"/>
        </w:rPr>
      </w:pPr>
      <w:r>
        <w:rPr>
          <w:rFonts w:ascii="Times New Roman" w:hAnsi="Times New Roman" w:cs="Times New Roman"/>
          <w:color w:val="auto"/>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83A9212" w14:textId="77777777" w:rsidR="00A85048" w:rsidRDefault="00143AEB">
      <w:pPr>
        <w:pStyle w:val="Default"/>
        <w:spacing w:line="360" w:lineRule="auto"/>
        <w:ind w:firstLineChars="200" w:firstLine="420"/>
        <w:rPr>
          <w:rFonts w:ascii="Times New Roman" w:hAnsi="Times New Roman" w:cs="Times New Roman"/>
          <w:sz w:val="21"/>
          <w:szCs w:val="21"/>
        </w:rPr>
      </w:pPr>
      <w:r>
        <w:rPr>
          <w:rFonts w:ascii="Times New Roman" w:hAnsi="Times New Roman" w:cs="Times New Roman"/>
          <w:sz w:val="21"/>
          <w:szCs w:val="21"/>
        </w:rPr>
        <w:t xml:space="preserve">GB 14923 </w:t>
      </w:r>
      <w:r>
        <w:rPr>
          <w:rFonts w:ascii="Times New Roman" w:hAnsi="Times New Roman" w:cs="Times New Roman"/>
          <w:sz w:val="21"/>
          <w:szCs w:val="21"/>
        </w:rPr>
        <w:t>哺乳类实验动物的遗传质量控制</w:t>
      </w:r>
    </w:p>
    <w:p w14:paraId="2A02A909" w14:textId="77777777" w:rsidR="00A85048" w:rsidRDefault="00143AEB">
      <w:pPr>
        <w:pStyle w:val="Default"/>
        <w:spacing w:line="360" w:lineRule="auto"/>
        <w:ind w:firstLineChars="200" w:firstLine="420"/>
        <w:rPr>
          <w:rFonts w:ascii="Times New Roman" w:hAnsi="Times New Roman" w:cs="Times New Roman"/>
          <w:color w:val="auto"/>
          <w:sz w:val="21"/>
        </w:rPr>
      </w:pPr>
      <w:r>
        <w:rPr>
          <w:rFonts w:ascii="Times New Roman" w:hAnsi="Times New Roman" w:cs="Times New Roman"/>
          <w:color w:val="auto"/>
          <w:sz w:val="21"/>
        </w:rPr>
        <w:t xml:space="preserve">NY/T 541 </w:t>
      </w:r>
      <w:r>
        <w:rPr>
          <w:rFonts w:ascii="Times New Roman" w:hAnsi="Times New Roman" w:cs="Times New Roman"/>
          <w:color w:val="auto"/>
          <w:sz w:val="21"/>
        </w:rPr>
        <w:t>兽医诊断样品采集、保存与运输技术规范</w:t>
      </w:r>
    </w:p>
    <w:p w14:paraId="431B98B5" w14:textId="77777777" w:rsidR="00A85048" w:rsidRDefault="00143AEB">
      <w:pPr>
        <w:pStyle w:val="Default"/>
        <w:spacing w:line="360" w:lineRule="auto"/>
        <w:ind w:firstLineChars="200" w:firstLine="420"/>
        <w:rPr>
          <w:sz w:val="21"/>
          <w:szCs w:val="21"/>
        </w:rPr>
      </w:pPr>
      <w:r>
        <w:rPr>
          <w:rFonts w:ascii="Times New Roman" w:hAnsi="Times New Roman" w:cs="Times New Roman"/>
          <w:color w:val="auto"/>
          <w:sz w:val="21"/>
        </w:rPr>
        <w:t xml:space="preserve">NY/T 1673  </w:t>
      </w:r>
      <w:r>
        <w:rPr>
          <w:rFonts w:ascii="Times New Roman" w:hAnsi="Times New Roman" w:cs="Times New Roman"/>
          <w:color w:val="auto"/>
          <w:sz w:val="21"/>
        </w:rPr>
        <w:t>畜禽微卫星</w:t>
      </w:r>
      <w:r>
        <w:rPr>
          <w:rFonts w:ascii="Times New Roman" w:hAnsi="Times New Roman" w:cs="Times New Roman"/>
          <w:color w:val="auto"/>
          <w:sz w:val="21"/>
        </w:rPr>
        <w:t>DNA</w:t>
      </w:r>
      <w:r>
        <w:rPr>
          <w:rFonts w:ascii="Times New Roman" w:hAnsi="Times New Roman" w:cs="Times New Roman"/>
          <w:color w:val="auto"/>
          <w:sz w:val="21"/>
        </w:rPr>
        <w:t>遗传多样性检测技术规程</w:t>
      </w:r>
    </w:p>
    <w:p w14:paraId="14BE3AD0"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3  原理</w:t>
      </w:r>
    </w:p>
    <w:p w14:paraId="60E2F5FB" w14:textId="49EE907E" w:rsidR="00A85048" w:rsidRDefault="00143AEB">
      <w:pPr>
        <w:spacing w:line="360" w:lineRule="auto"/>
        <w:rPr>
          <w:sz w:val="21"/>
          <w:szCs w:val="21"/>
          <w:lang w:eastAsia="zh-CN"/>
        </w:rPr>
      </w:pPr>
      <w:r>
        <w:rPr>
          <w:b/>
          <w:bCs/>
          <w:sz w:val="21"/>
          <w:szCs w:val="21"/>
          <w:lang w:eastAsia="zh-CN"/>
        </w:rPr>
        <w:t xml:space="preserve">   </w:t>
      </w:r>
      <w:r>
        <w:rPr>
          <w:sz w:val="21"/>
          <w:szCs w:val="21"/>
          <w:lang w:eastAsia="zh-CN"/>
        </w:rPr>
        <w:t xml:space="preserve"> </w:t>
      </w:r>
      <w:r>
        <w:rPr>
          <w:rFonts w:hint="eastAsia"/>
          <w:sz w:val="21"/>
          <w:szCs w:val="21"/>
          <w:lang w:eastAsia="zh-CN"/>
        </w:rPr>
        <w:t>长爪沙鼠具有先天脑底动脉</w:t>
      </w:r>
      <w:r>
        <w:rPr>
          <w:rFonts w:hint="eastAsia"/>
          <w:sz w:val="21"/>
          <w:szCs w:val="21"/>
          <w:lang w:eastAsia="zh-CN"/>
        </w:rPr>
        <w:t>Willis</w:t>
      </w:r>
      <w:r>
        <w:rPr>
          <w:rFonts w:hint="eastAsia"/>
          <w:sz w:val="21"/>
          <w:szCs w:val="21"/>
          <w:lang w:eastAsia="zh-CN"/>
        </w:rPr>
        <w:t>环变异缺失的特点，通过单侧结扎颈总动脉可导致其对应侧半脑缺血，结扎采用打活结的方式，在适当的时间点打开活结即可实现再灌注，形成脑缺血再灌注模型。</w:t>
      </w:r>
      <w:r>
        <w:rPr>
          <w:sz w:val="21"/>
          <w:szCs w:val="21"/>
          <w:lang w:eastAsia="zh-CN"/>
        </w:rPr>
        <w:t xml:space="preserve"> </w:t>
      </w:r>
    </w:p>
    <w:p w14:paraId="7E0395C4"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4  模型制备</w:t>
      </w:r>
    </w:p>
    <w:p w14:paraId="6A957C82"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4.1 模型动物</w:t>
      </w:r>
    </w:p>
    <w:p w14:paraId="03D66E42" w14:textId="77777777" w:rsidR="00A85048" w:rsidRDefault="00143AEB">
      <w:pPr>
        <w:widowControl w:val="0"/>
        <w:autoSpaceDE w:val="0"/>
        <w:autoSpaceDN w:val="0"/>
        <w:adjustRightInd w:val="0"/>
        <w:spacing w:line="360" w:lineRule="auto"/>
        <w:ind w:firstLineChars="200" w:firstLine="420"/>
        <w:rPr>
          <w:sz w:val="21"/>
          <w:szCs w:val="21"/>
          <w:lang w:eastAsia="zh-CN"/>
        </w:rPr>
      </w:pPr>
      <w:r>
        <w:rPr>
          <w:rFonts w:hint="eastAsia"/>
          <w:sz w:val="21"/>
          <w:szCs w:val="21"/>
          <w:lang w:eastAsia="zh-CN"/>
        </w:rPr>
        <w:t>使用由首都医科大学基础医学院陈振文团队定向近交培育的脑缺血高发近交系长爪沙鼠（</w:t>
      </w:r>
      <w:r>
        <w:rPr>
          <w:rFonts w:hint="eastAsia"/>
          <w:sz w:val="21"/>
          <w:szCs w:val="21"/>
          <w:lang w:eastAsia="zh-CN"/>
        </w:rPr>
        <w:t>CIMG</w:t>
      </w:r>
      <w:r>
        <w:rPr>
          <w:rFonts w:hint="eastAsia"/>
          <w:sz w:val="21"/>
          <w:szCs w:val="21"/>
          <w:lang w:eastAsia="zh-CN"/>
        </w:rPr>
        <w:t>）。</w:t>
      </w:r>
      <w:r>
        <w:rPr>
          <w:rFonts w:hint="eastAsia"/>
          <w:sz w:val="21"/>
          <w:szCs w:val="21"/>
          <w:lang w:eastAsia="zh-CN"/>
        </w:rPr>
        <w:t>CIMG</w:t>
      </w:r>
      <w:r>
        <w:rPr>
          <w:rFonts w:hint="eastAsia"/>
          <w:sz w:val="21"/>
          <w:szCs w:val="21"/>
          <w:lang w:eastAsia="zh-CN"/>
        </w:rPr>
        <w:t>近交系具有更高的</w:t>
      </w:r>
      <w:r>
        <w:rPr>
          <w:rFonts w:hint="eastAsia"/>
          <w:sz w:val="21"/>
          <w:szCs w:val="21"/>
          <w:lang w:eastAsia="zh-CN"/>
        </w:rPr>
        <w:t>Willis</w:t>
      </w:r>
      <w:r>
        <w:rPr>
          <w:rFonts w:hint="eastAsia"/>
          <w:sz w:val="21"/>
          <w:szCs w:val="21"/>
          <w:lang w:eastAsia="zh-CN"/>
        </w:rPr>
        <w:t>环缺失比例，能更大程度地保证模型成功率。</w:t>
      </w:r>
    </w:p>
    <w:p w14:paraId="54508416"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4.2 单侧颈动脉结扎I/R模型制备</w:t>
      </w:r>
    </w:p>
    <w:p w14:paraId="2FE81CFB" w14:textId="527EBCCD" w:rsidR="00A85048" w:rsidRDefault="00143AEB">
      <w:pPr>
        <w:spacing w:line="360" w:lineRule="auto"/>
        <w:ind w:firstLineChars="200" w:firstLine="420"/>
        <w:rPr>
          <w:rFonts w:ascii="宋体" w:hAnsi="宋体" w:cs="宋体" w:hint="eastAsia"/>
          <w:sz w:val="21"/>
          <w:szCs w:val="21"/>
          <w:lang w:eastAsia="zh-CN"/>
        </w:rPr>
      </w:pPr>
      <w:r>
        <w:rPr>
          <w:sz w:val="21"/>
          <w:szCs w:val="21"/>
          <w:lang w:eastAsia="zh-CN"/>
        </w:rPr>
        <w:t>长爪沙鼠异氟醚麻醉后，颈部进行酒精消毒和备皮。正中位开口，暴露气管后弯镊钝性剥离右侧颈总动脉，长约</w:t>
      </w:r>
      <w:r>
        <w:rPr>
          <w:sz w:val="21"/>
          <w:szCs w:val="21"/>
          <w:lang w:eastAsia="zh-CN"/>
        </w:rPr>
        <w:t>10cm</w:t>
      </w:r>
      <w:r>
        <w:rPr>
          <w:sz w:val="21"/>
          <w:szCs w:val="21"/>
          <w:lang w:eastAsia="zh-CN"/>
        </w:rPr>
        <w:t>的</w:t>
      </w:r>
      <w:r>
        <w:rPr>
          <w:sz w:val="21"/>
          <w:szCs w:val="21"/>
          <w:lang w:eastAsia="zh-CN"/>
        </w:rPr>
        <w:t>4-0</w:t>
      </w:r>
      <w:r>
        <w:rPr>
          <w:sz w:val="21"/>
          <w:szCs w:val="21"/>
          <w:lang w:eastAsia="zh-CN"/>
        </w:rPr>
        <w:t>号不可溶性手术缝合线穿过右侧颈总动脉，以活结结扎实现右侧脑半球缺血，待观察到远端血管发白（说明</w:t>
      </w:r>
      <w:r w:rsidR="00CD62A0">
        <w:rPr>
          <w:rFonts w:hint="eastAsia"/>
          <w:sz w:val="21"/>
          <w:szCs w:val="21"/>
          <w:lang w:eastAsia="zh-CN"/>
        </w:rPr>
        <w:t>无血流通过，</w:t>
      </w:r>
      <w:r>
        <w:rPr>
          <w:sz w:val="21"/>
          <w:szCs w:val="21"/>
          <w:lang w:eastAsia="zh-CN"/>
        </w:rPr>
        <w:t>结扎成功）后，表皮进行缝合、消毒；结扎手术线留出端口，当出现快速转圈或翻转症状后</w:t>
      </w:r>
      <w:r>
        <w:rPr>
          <w:sz w:val="21"/>
          <w:szCs w:val="21"/>
          <w:lang w:eastAsia="zh-CN"/>
        </w:rPr>
        <w:t>15 min</w:t>
      </w:r>
      <w:r>
        <w:rPr>
          <w:sz w:val="21"/>
          <w:szCs w:val="21"/>
          <w:lang w:eastAsia="zh-CN"/>
        </w:rPr>
        <w:t>后解开活结以进行再灌注。</w:t>
      </w:r>
      <w:r>
        <w:rPr>
          <w:sz w:val="21"/>
          <w:szCs w:val="21"/>
          <w:lang w:eastAsia="zh-CN"/>
        </w:rPr>
        <w:t xml:space="preserve"> </w:t>
      </w:r>
    </w:p>
    <w:p w14:paraId="76AC8C9E" w14:textId="77777777" w:rsidR="00A85048" w:rsidRDefault="00143AEB">
      <w:pPr>
        <w:spacing w:line="360" w:lineRule="auto"/>
        <w:rPr>
          <w:rFonts w:eastAsia="黑体"/>
          <w:sz w:val="21"/>
          <w:szCs w:val="21"/>
          <w:lang w:eastAsia="zh-CN"/>
        </w:rPr>
      </w:pPr>
      <w:r>
        <w:rPr>
          <w:rFonts w:ascii="黑体" w:eastAsia="黑体" w:hAnsi="黑体" w:cs="黑体" w:hint="eastAsia"/>
          <w:sz w:val="21"/>
          <w:szCs w:val="21"/>
          <w:lang w:eastAsia="zh-CN"/>
        </w:rPr>
        <w:t xml:space="preserve">5  </w:t>
      </w:r>
      <w:r>
        <w:rPr>
          <w:rFonts w:eastAsia="黑体" w:hint="eastAsia"/>
          <w:sz w:val="21"/>
          <w:szCs w:val="21"/>
          <w:lang w:eastAsia="zh-CN"/>
        </w:rPr>
        <w:t>模型评估</w:t>
      </w:r>
    </w:p>
    <w:p w14:paraId="549B7585" w14:textId="77777777" w:rsidR="00A85048" w:rsidRDefault="00143AEB">
      <w:pPr>
        <w:spacing w:line="360" w:lineRule="auto"/>
        <w:rPr>
          <w:rFonts w:eastAsia="黑体"/>
          <w:sz w:val="21"/>
          <w:szCs w:val="21"/>
          <w:lang w:eastAsia="zh-CN"/>
        </w:rPr>
      </w:pPr>
      <w:r>
        <w:rPr>
          <w:rFonts w:ascii="黑体" w:eastAsia="黑体" w:hAnsi="黑体" w:cs="黑体" w:hint="eastAsia"/>
          <w:sz w:val="21"/>
          <w:szCs w:val="21"/>
          <w:lang w:eastAsia="zh-CN"/>
        </w:rPr>
        <w:lastRenderedPageBreak/>
        <w:t>5.1</w:t>
      </w:r>
      <w:r>
        <w:rPr>
          <w:rFonts w:eastAsia="黑体"/>
          <w:sz w:val="21"/>
          <w:szCs w:val="21"/>
          <w:lang w:eastAsia="zh-CN"/>
        </w:rPr>
        <w:t xml:space="preserve"> </w:t>
      </w:r>
      <w:r>
        <w:rPr>
          <w:rFonts w:eastAsia="黑体" w:hint="eastAsia"/>
          <w:sz w:val="21"/>
          <w:szCs w:val="21"/>
          <w:lang w:eastAsia="zh-CN"/>
        </w:rPr>
        <w:t>神经行为学评价</w:t>
      </w:r>
    </w:p>
    <w:p w14:paraId="6AF84D59" w14:textId="77777777" w:rsidR="00A85048" w:rsidRDefault="00143AEB">
      <w:pPr>
        <w:spacing w:line="360" w:lineRule="auto"/>
        <w:ind w:firstLineChars="200" w:firstLine="420"/>
        <w:rPr>
          <w:sz w:val="21"/>
          <w:szCs w:val="21"/>
          <w:lang w:eastAsia="zh-CN"/>
        </w:rPr>
      </w:pPr>
      <w:r>
        <w:rPr>
          <w:sz w:val="21"/>
          <w:szCs w:val="21"/>
          <w:lang w:eastAsia="zh-CN"/>
        </w:rPr>
        <w:t>长爪沙鼠</w:t>
      </w:r>
      <w:r>
        <w:rPr>
          <w:sz w:val="21"/>
          <w:szCs w:val="21"/>
          <w:lang w:eastAsia="zh-CN"/>
        </w:rPr>
        <w:t>I/R</w:t>
      </w:r>
      <w:r>
        <w:rPr>
          <w:sz w:val="21"/>
          <w:szCs w:val="21"/>
          <w:lang w:eastAsia="zh-CN"/>
        </w:rPr>
        <w:t>模型具有适用于自身的评价体系，观察并记录再灌后</w:t>
      </w:r>
      <w:r>
        <w:rPr>
          <w:sz w:val="21"/>
          <w:szCs w:val="21"/>
          <w:lang w:eastAsia="zh-CN"/>
        </w:rPr>
        <w:t>1h</w:t>
      </w:r>
      <w:r>
        <w:rPr>
          <w:sz w:val="21"/>
          <w:szCs w:val="21"/>
          <w:lang w:eastAsia="zh-CN"/>
        </w:rPr>
        <w:t>症状及神经行为学，按照严重程度进行了划分和评级，分数越高表明症状越严重（表</w:t>
      </w:r>
      <w:r>
        <w:rPr>
          <w:sz w:val="21"/>
          <w:szCs w:val="21"/>
          <w:lang w:eastAsia="zh-CN"/>
        </w:rPr>
        <w:t>1</w:t>
      </w:r>
      <w:r>
        <w:rPr>
          <w:sz w:val="21"/>
          <w:szCs w:val="21"/>
          <w:lang w:eastAsia="zh-CN"/>
        </w:rPr>
        <w:t>）。</w:t>
      </w:r>
    </w:p>
    <w:p w14:paraId="52BC4DF6" w14:textId="77777777" w:rsidR="00A85048" w:rsidRDefault="00143AEB">
      <w:pPr>
        <w:spacing w:line="360" w:lineRule="auto"/>
        <w:ind w:firstLineChars="200" w:firstLine="420"/>
        <w:jc w:val="center"/>
        <w:rPr>
          <w:sz w:val="21"/>
          <w:szCs w:val="21"/>
          <w:lang w:eastAsia="zh-CN"/>
        </w:rPr>
      </w:pPr>
      <w:r>
        <w:rPr>
          <w:rFonts w:eastAsiaTheme="minorEastAsia"/>
          <w:sz w:val="21"/>
          <w:szCs w:val="21"/>
          <w:lang w:eastAsia="zh-CN"/>
        </w:rPr>
        <w:t>表</w:t>
      </w:r>
      <w:r>
        <w:rPr>
          <w:rFonts w:eastAsiaTheme="minorEastAsia"/>
          <w:sz w:val="21"/>
          <w:szCs w:val="21"/>
          <w:lang w:eastAsia="zh-CN"/>
        </w:rPr>
        <w:t xml:space="preserve"> </w:t>
      </w:r>
      <w:r>
        <w:rPr>
          <w:rFonts w:eastAsiaTheme="minorEastAsia"/>
          <w:sz w:val="21"/>
          <w:szCs w:val="21"/>
        </w:rPr>
        <w:fldChar w:fldCharType="begin"/>
      </w:r>
      <w:r>
        <w:rPr>
          <w:rFonts w:eastAsiaTheme="minorEastAsia"/>
          <w:sz w:val="21"/>
          <w:szCs w:val="21"/>
          <w:lang w:eastAsia="zh-CN"/>
        </w:rPr>
        <w:instrText xml:space="preserve"> SEQ </w:instrText>
      </w:r>
      <w:r>
        <w:rPr>
          <w:rFonts w:eastAsiaTheme="minorEastAsia"/>
          <w:sz w:val="21"/>
          <w:szCs w:val="21"/>
          <w:lang w:eastAsia="zh-CN"/>
        </w:rPr>
        <w:instrText>表</w:instrText>
      </w:r>
      <w:r>
        <w:rPr>
          <w:rFonts w:eastAsiaTheme="minorEastAsia"/>
          <w:sz w:val="21"/>
          <w:szCs w:val="21"/>
          <w:lang w:eastAsia="zh-CN"/>
        </w:rPr>
        <w:instrText xml:space="preserve"> \* ARABIC </w:instrText>
      </w:r>
      <w:r>
        <w:rPr>
          <w:rFonts w:eastAsiaTheme="minorEastAsia"/>
          <w:sz w:val="21"/>
          <w:szCs w:val="21"/>
        </w:rPr>
        <w:fldChar w:fldCharType="separate"/>
      </w:r>
      <w:r>
        <w:rPr>
          <w:rFonts w:eastAsiaTheme="minorEastAsia"/>
          <w:sz w:val="21"/>
          <w:szCs w:val="21"/>
          <w:lang w:eastAsia="zh-CN"/>
        </w:rPr>
        <w:t>1</w:t>
      </w:r>
      <w:r>
        <w:rPr>
          <w:rFonts w:eastAsiaTheme="minorEastAsia"/>
          <w:sz w:val="21"/>
          <w:szCs w:val="21"/>
        </w:rPr>
        <w:fldChar w:fldCharType="end"/>
      </w:r>
      <w:r>
        <w:rPr>
          <w:rFonts w:eastAsiaTheme="minorEastAsia"/>
          <w:sz w:val="21"/>
          <w:szCs w:val="21"/>
          <w:lang w:eastAsia="zh-CN"/>
        </w:rPr>
        <w:t xml:space="preserve"> </w:t>
      </w:r>
      <w:r>
        <w:rPr>
          <w:rFonts w:eastAsiaTheme="minorEastAsia"/>
          <w:sz w:val="21"/>
          <w:szCs w:val="21"/>
          <w:lang w:eastAsia="zh-CN"/>
        </w:rPr>
        <w:t>长爪沙鼠</w:t>
      </w:r>
      <w:r>
        <w:rPr>
          <w:rFonts w:eastAsiaTheme="minorEastAsia"/>
          <w:sz w:val="21"/>
          <w:szCs w:val="21"/>
          <w:lang w:eastAsia="zh-CN"/>
        </w:rPr>
        <w:t>I/R</w:t>
      </w:r>
      <w:r>
        <w:rPr>
          <w:rFonts w:eastAsiaTheme="minorEastAsia"/>
          <w:sz w:val="21"/>
          <w:szCs w:val="21"/>
          <w:lang w:eastAsia="zh-CN"/>
        </w:rPr>
        <w:t>模型神经行为学评分等级。</w:t>
      </w:r>
    </w:p>
    <w:p w14:paraId="1D07AF4F" w14:textId="77777777" w:rsidR="00A85048" w:rsidRDefault="00143AEB">
      <w:pPr>
        <w:jc w:val="center"/>
        <w:rPr>
          <w:sz w:val="21"/>
          <w:szCs w:val="21"/>
        </w:rPr>
      </w:pPr>
      <w:r>
        <w:rPr>
          <w:sz w:val="21"/>
          <w:szCs w:val="21"/>
        </w:rPr>
        <w:t>Table 1 Neurobehavioral scores of I/R models in Mongolian gerbils.</w:t>
      </w:r>
    </w:p>
    <w:tbl>
      <w:tblPr>
        <w:tblStyle w:val="a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45"/>
        <w:gridCol w:w="7661"/>
      </w:tblGrid>
      <w:tr w:rsidR="00A85048" w14:paraId="79185233" w14:textId="77777777">
        <w:trPr>
          <w:trHeight w:val="493"/>
        </w:trPr>
        <w:tc>
          <w:tcPr>
            <w:tcW w:w="1701" w:type="dxa"/>
            <w:tcBorders>
              <w:top w:val="single" w:sz="8" w:space="0" w:color="auto"/>
              <w:left w:val="nil"/>
              <w:bottom w:val="single" w:sz="8" w:space="0" w:color="auto"/>
              <w:right w:val="nil"/>
            </w:tcBorders>
          </w:tcPr>
          <w:p w14:paraId="4ADD347A" w14:textId="77777777" w:rsidR="00A85048" w:rsidRDefault="00143AEB">
            <w:pPr>
              <w:jc w:val="center"/>
              <w:rPr>
                <w:sz w:val="20"/>
                <w:szCs w:val="20"/>
              </w:rPr>
            </w:pPr>
            <w:r>
              <w:rPr>
                <w:sz w:val="20"/>
                <w:szCs w:val="20"/>
              </w:rPr>
              <w:t>评分</w:t>
            </w:r>
          </w:p>
        </w:tc>
        <w:tc>
          <w:tcPr>
            <w:tcW w:w="6595" w:type="dxa"/>
            <w:tcBorders>
              <w:top w:val="single" w:sz="8" w:space="0" w:color="auto"/>
              <w:left w:val="nil"/>
              <w:bottom w:val="single" w:sz="8" w:space="0" w:color="auto"/>
              <w:right w:val="nil"/>
            </w:tcBorders>
          </w:tcPr>
          <w:p w14:paraId="233310CD" w14:textId="77777777" w:rsidR="00A85048" w:rsidRDefault="00143AEB">
            <w:pPr>
              <w:jc w:val="center"/>
              <w:rPr>
                <w:sz w:val="20"/>
                <w:szCs w:val="20"/>
              </w:rPr>
            </w:pPr>
            <w:r>
              <w:rPr>
                <w:sz w:val="20"/>
                <w:szCs w:val="20"/>
              </w:rPr>
              <w:t>症状</w:t>
            </w:r>
          </w:p>
        </w:tc>
      </w:tr>
      <w:tr w:rsidR="00A85048" w14:paraId="43512B70" w14:textId="77777777">
        <w:tc>
          <w:tcPr>
            <w:tcW w:w="1701" w:type="dxa"/>
            <w:tcBorders>
              <w:top w:val="single" w:sz="8" w:space="0" w:color="auto"/>
              <w:left w:val="nil"/>
              <w:bottom w:val="nil"/>
              <w:right w:val="nil"/>
            </w:tcBorders>
          </w:tcPr>
          <w:p w14:paraId="3516648A" w14:textId="77777777" w:rsidR="00A85048" w:rsidRDefault="00143AEB">
            <w:pPr>
              <w:jc w:val="center"/>
              <w:rPr>
                <w:sz w:val="20"/>
                <w:szCs w:val="20"/>
              </w:rPr>
            </w:pPr>
            <w:r>
              <w:rPr>
                <w:rFonts w:eastAsia="等线"/>
                <w:sz w:val="20"/>
                <w:szCs w:val="20"/>
              </w:rPr>
              <w:t>1</w:t>
            </w:r>
          </w:p>
        </w:tc>
        <w:tc>
          <w:tcPr>
            <w:tcW w:w="6595" w:type="dxa"/>
            <w:tcBorders>
              <w:top w:val="single" w:sz="8" w:space="0" w:color="auto"/>
              <w:left w:val="nil"/>
              <w:bottom w:val="nil"/>
              <w:right w:val="nil"/>
            </w:tcBorders>
          </w:tcPr>
          <w:p w14:paraId="371BDF45" w14:textId="77777777" w:rsidR="00A85048" w:rsidRDefault="00143AEB">
            <w:pPr>
              <w:jc w:val="center"/>
              <w:rPr>
                <w:sz w:val="20"/>
                <w:szCs w:val="20"/>
              </w:rPr>
            </w:pPr>
            <w:r>
              <w:rPr>
                <w:sz w:val="20"/>
                <w:szCs w:val="20"/>
              </w:rPr>
              <w:t>无症状。</w:t>
            </w:r>
          </w:p>
        </w:tc>
      </w:tr>
      <w:tr w:rsidR="00A85048" w14:paraId="4AD91838" w14:textId="77777777">
        <w:tc>
          <w:tcPr>
            <w:tcW w:w="1701" w:type="dxa"/>
            <w:tcBorders>
              <w:top w:val="nil"/>
              <w:left w:val="nil"/>
              <w:bottom w:val="nil"/>
              <w:right w:val="nil"/>
            </w:tcBorders>
          </w:tcPr>
          <w:p w14:paraId="1BFC4B92" w14:textId="77777777" w:rsidR="00A85048" w:rsidRDefault="00143AEB">
            <w:pPr>
              <w:jc w:val="center"/>
              <w:rPr>
                <w:sz w:val="20"/>
                <w:szCs w:val="20"/>
              </w:rPr>
            </w:pPr>
            <w:r>
              <w:rPr>
                <w:rFonts w:eastAsia="等线"/>
                <w:sz w:val="20"/>
                <w:szCs w:val="20"/>
              </w:rPr>
              <w:t>2</w:t>
            </w:r>
          </w:p>
        </w:tc>
        <w:tc>
          <w:tcPr>
            <w:tcW w:w="6595" w:type="dxa"/>
            <w:tcBorders>
              <w:top w:val="nil"/>
              <w:left w:val="nil"/>
              <w:bottom w:val="nil"/>
              <w:right w:val="nil"/>
            </w:tcBorders>
          </w:tcPr>
          <w:p w14:paraId="38EBD863" w14:textId="77777777" w:rsidR="00A85048" w:rsidRDefault="00143AEB">
            <w:pPr>
              <w:jc w:val="center"/>
              <w:rPr>
                <w:sz w:val="20"/>
                <w:szCs w:val="20"/>
                <w:lang w:eastAsia="zh-CN"/>
              </w:rPr>
            </w:pPr>
            <w:r>
              <w:rPr>
                <w:sz w:val="20"/>
                <w:szCs w:val="20"/>
                <w:lang w:eastAsia="zh-CN"/>
              </w:rPr>
              <w:t>缺血侧出现眼睑下垂或闭眼。</w:t>
            </w:r>
          </w:p>
        </w:tc>
      </w:tr>
      <w:tr w:rsidR="00A85048" w14:paraId="3C4CC873" w14:textId="77777777">
        <w:tc>
          <w:tcPr>
            <w:tcW w:w="1701" w:type="dxa"/>
            <w:tcBorders>
              <w:top w:val="nil"/>
              <w:left w:val="nil"/>
              <w:bottom w:val="nil"/>
              <w:right w:val="nil"/>
            </w:tcBorders>
          </w:tcPr>
          <w:p w14:paraId="0582F669" w14:textId="77777777" w:rsidR="00A85048" w:rsidRDefault="00143AEB">
            <w:pPr>
              <w:jc w:val="center"/>
              <w:rPr>
                <w:sz w:val="20"/>
                <w:szCs w:val="20"/>
              </w:rPr>
            </w:pPr>
            <w:r>
              <w:rPr>
                <w:rFonts w:eastAsia="等线"/>
                <w:sz w:val="20"/>
                <w:szCs w:val="20"/>
              </w:rPr>
              <w:t>3</w:t>
            </w:r>
          </w:p>
        </w:tc>
        <w:tc>
          <w:tcPr>
            <w:tcW w:w="6595" w:type="dxa"/>
            <w:tcBorders>
              <w:top w:val="nil"/>
              <w:left w:val="nil"/>
              <w:bottom w:val="nil"/>
              <w:right w:val="nil"/>
            </w:tcBorders>
          </w:tcPr>
          <w:p w14:paraId="0C33DA5D" w14:textId="77777777" w:rsidR="00A85048" w:rsidRDefault="00143AEB">
            <w:pPr>
              <w:jc w:val="center"/>
              <w:rPr>
                <w:sz w:val="20"/>
                <w:szCs w:val="20"/>
                <w:lang w:eastAsia="zh-CN"/>
              </w:rPr>
            </w:pPr>
            <w:r>
              <w:rPr>
                <w:sz w:val="20"/>
                <w:szCs w:val="20"/>
                <w:lang w:eastAsia="zh-CN"/>
              </w:rPr>
              <w:t>提起鼠尾离地</w:t>
            </w:r>
            <w:r>
              <w:rPr>
                <w:rFonts w:eastAsia="等线"/>
                <w:sz w:val="20"/>
                <w:szCs w:val="20"/>
                <w:lang w:eastAsia="zh-CN"/>
              </w:rPr>
              <w:t>30cm</w:t>
            </w:r>
            <w:r>
              <w:rPr>
                <w:sz w:val="20"/>
                <w:szCs w:val="20"/>
                <w:lang w:eastAsia="zh-CN"/>
              </w:rPr>
              <w:t>，缺血侧前肢无法完全伸展，轻微内曲，不完全影响活动或使用。</w:t>
            </w:r>
          </w:p>
        </w:tc>
      </w:tr>
      <w:tr w:rsidR="00A85048" w14:paraId="40892B3C" w14:textId="77777777">
        <w:tc>
          <w:tcPr>
            <w:tcW w:w="1701" w:type="dxa"/>
            <w:tcBorders>
              <w:top w:val="nil"/>
              <w:left w:val="nil"/>
              <w:bottom w:val="nil"/>
              <w:right w:val="nil"/>
            </w:tcBorders>
          </w:tcPr>
          <w:p w14:paraId="68B2B320" w14:textId="77777777" w:rsidR="00A85048" w:rsidRDefault="00143AEB">
            <w:pPr>
              <w:jc w:val="center"/>
              <w:rPr>
                <w:sz w:val="20"/>
                <w:szCs w:val="20"/>
              </w:rPr>
            </w:pPr>
            <w:r>
              <w:rPr>
                <w:rFonts w:eastAsia="等线"/>
                <w:sz w:val="20"/>
                <w:szCs w:val="20"/>
              </w:rPr>
              <w:t>4</w:t>
            </w:r>
          </w:p>
        </w:tc>
        <w:tc>
          <w:tcPr>
            <w:tcW w:w="6595" w:type="dxa"/>
            <w:tcBorders>
              <w:top w:val="nil"/>
              <w:left w:val="nil"/>
              <w:bottom w:val="nil"/>
              <w:right w:val="nil"/>
            </w:tcBorders>
          </w:tcPr>
          <w:p w14:paraId="2A8EBA2D" w14:textId="77777777" w:rsidR="00A85048" w:rsidRDefault="00143AEB">
            <w:pPr>
              <w:jc w:val="center"/>
              <w:rPr>
                <w:sz w:val="20"/>
                <w:szCs w:val="20"/>
                <w:lang w:eastAsia="zh-CN"/>
              </w:rPr>
            </w:pPr>
            <w:r>
              <w:rPr>
                <w:sz w:val="20"/>
                <w:szCs w:val="20"/>
                <w:lang w:eastAsia="zh-CN"/>
              </w:rPr>
              <w:t>提起鼠尾离地</w:t>
            </w:r>
            <w:r>
              <w:rPr>
                <w:rFonts w:eastAsia="等线"/>
                <w:sz w:val="20"/>
                <w:szCs w:val="20"/>
                <w:lang w:eastAsia="zh-CN"/>
              </w:rPr>
              <w:t>30cm</w:t>
            </w:r>
            <w:r>
              <w:rPr>
                <w:sz w:val="20"/>
                <w:szCs w:val="20"/>
                <w:lang w:eastAsia="zh-CN"/>
              </w:rPr>
              <w:t>，缺血侧前肢完全向内曲，且无法正常伸展活动。</w:t>
            </w:r>
          </w:p>
        </w:tc>
      </w:tr>
      <w:tr w:rsidR="00A85048" w14:paraId="758CF160" w14:textId="77777777">
        <w:tc>
          <w:tcPr>
            <w:tcW w:w="1701" w:type="dxa"/>
            <w:tcBorders>
              <w:top w:val="nil"/>
              <w:left w:val="nil"/>
              <w:bottom w:val="nil"/>
              <w:right w:val="nil"/>
            </w:tcBorders>
          </w:tcPr>
          <w:p w14:paraId="694C834C" w14:textId="77777777" w:rsidR="00A85048" w:rsidRDefault="00143AEB">
            <w:pPr>
              <w:jc w:val="center"/>
              <w:rPr>
                <w:sz w:val="20"/>
                <w:szCs w:val="20"/>
              </w:rPr>
            </w:pPr>
            <w:r>
              <w:rPr>
                <w:rFonts w:eastAsia="等线"/>
                <w:sz w:val="20"/>
                <w:szCs w:val="20"/>
              </w:rPr>
              <w:t>5</w:t>
            </w:r>
          </w:p>
        </w:tc>
        <w:tc>
          <w:tcPr>
            <w:tcW w:w="6595" w:type="dxa"/>
            <w:tcBorders>
              <w:top w:val="nil"/>
              <w:left w:val="nil"/>
              <w:bottom w:val="nil"/>
              <w:right w:val="nil"/>
            </w:tcBorders>
          </w:tcPr>
          <w:p w14:paraId="3755E708" w14:textId="77777777" w:rsidR="00A85048" w:rsidRDefault="00143AEB">
            <w:pPr>
              <w:jc w:val="center"/>
              <w:rPr>
                <w:sz w:val="20"/>
                <w:szCs w:val="20"/>
                <w:lang w:eastAsia="zh-CN"/>
              </w:rPr>
            </w:pPr>
            <w:r>
              <w:rPr>
                <w:sz w:val="20"/>
                <w:szCs w:val="20"/>
                <w:lang w:eastAsia="zh-CN"/>
              </w:rPr>
              <w:t>向缺血侧转圈，或头肩向缺血侧偏倚。</w:t>
            </w:r>
          </w:p>
        </w:tc>
      </w:tr>
      <w:tr w:rsidR="00A85048" w14:paraId="519488F7" w14:textId="77777777">
        <w:tc>
          <w:tcPr>
            <w:tcW w:w="1701" w:type="dxa"/>
            <w:tcBorders>
              <w:top w:val="nil"/>
              <w:left w:val="nil"/>
              <w:bottom w:val="nil"/>
              <w:right w:val="nil"/>
            </w:tcBorders>
          </w:tcPr>
          <w:p w14:paraId="3B14D70D" w14:textId="77777777" w:rsidR="00A85048" w:rsidRDefault="00143AEB">
            <w:pPr>
              <w:jc w:val="center"/>
              <w:rPr>
                <w:sz w:val="20"/>
                <w:szCs w:val="20"/>
              </w:rPr>
            </w:pPr>
            <w:r>
              <w:rPr>
                <w:rFonts w:eastAsia="等线"/>
                <w:sz w:val="20"/>
                <w:szCs w:val="20"/>
              </w:rPr>
              <w:t>6</w:t>
            </w:r>
          </w:p>
        </w:tc>
        <w:tc>
          <w:tcPr>
            <w:tcW w:w="6595" w:type="dxa"/>
            <w:tcBorders>
              <w:top w:val="nil"/>
              <w:left w:val="nil"/>
              <w:bottom w:val="nil"/>
              <w:right w:val="nil"/>
            </w:tcBorders>
          </w:tcPr>
          <w:p w14:paraId="298AEC35" w14:textId="77777777" w:rsidR="00A85048" w:rsidRDefault="00143AEB">
            <w:pPr>
              <w:jc w:val="center"/>
              <w:rPr>
                <w:sz w:val="20"/>
                <w:szCs w:val="20"/>
                <w:lang w:eastAsia="zh-CN"/>
              </w:rPr>
            </w:pPr>
            <w:r>
              <w:rPr>
                <w:sz w:val="20"/>
                <w:szCs w:val="20"/>
                <w:lang w:eastAsia="zh-CN"/>
              </w:rPr>
              <w:t>向缺血侧快速转圈，或身体向缺血侧严重倾斜跛行、偏瘫。</w:t>
            </w:r>
          </w:p>
        </w:tc>
      </w:tr>
      <w:tr w:rsidR="00A85048" w14:paraId="42DA7423" w14:textId="77777777">
        <w:tc>
          <w:tcPr>
            <w:tcW w:w="1701" w:type="dxa"/>
            <w:tcBorders>
              <w:top w:val="nil"/>
              <w:left w:val="nil"/>
              <w:bottom w:val="nil"/>
              <w:right w:val="nil"/>
            </w:tcBorders>
          </w:tcPr>
          <w:p w14:paraId="4A575228" w14:textId="77777777" w:rsidR="00A85048" w:rsidRDefault="00143AEB">
            <w:pPr>
              <w:jc w:val="center"/>
              <w:rPr>
                <w:sz w:val="20"/>
                <w:szCs w:val="20"/>
              </w:rPr>
            </w:pPr>
            <w:r>
              <w:rPr>
                <w:rFonts w:eastAsia="等线"/>
                <w:sz w:val="20"/>
                <w:szCs w:val="20"/>
              </w:rPr>
              <w:t>7</w:t>
            </w:r>
          </w:p>
        </w:tc>
        <w:tc>
          <w:tcPr>
            <w:tcW w:w="6595" w:type="dxa"/>
            <w:tcBorders>
              <w:top w:val="nil"/>
              <w:left w:val="nil"/>
              <w:bottom w:val="nil"/>
              <w:right w:val="nil"/>
            </w:tcBorders>
          </w:tcPr>
          <w:p w14:paraId="12F7ADFD" w14:textId="77777777" w:rsidR="00A85048" w:rsidRDefault="00143AEB">
            <w:pPr>
              <w:jc w:val="center"/>
              <w:rPr>
                <w:sz w:val="20"/>
                <w:szCs w:val="20"/>
                <w:lang w:eastAsia="zh-CN"/>
              </w:rPr>
            </w:pPr>
            <w:r>
              <w:rPr>
                <w:sz w:val="20"/>
                <w:szCs w:val="20"/>
                <w:lang w:eastAsia="zh-CN"/>
              </w:rPr>
              <w:t>身体进行快速翻转、直立跳跃现象，或伴随缺血侧眼球出血。</w:t>
            </w:r>
          </w:p>
        </w:tc>
      </w:tr>
      <w:tr w:rsidR="00A85048" w14:paraId="25967D74" w14:textId="77777777">
        <w:tc>
          <w:tcPr>
            <w:tcW w:w="1701" w:type="dxa"/>
            <w:tcBorders>
              <w:top w:val="nil"/>
              <w:left w:val="nil"/>
              <w:bottom w:val="nil"/>
              <w:right w:val="nil"/>
            </w:tcBorders>
          </w:tcPr>
          <w:p w14:paraId="51A64984" w14:textId="77777777" w:rsidR="00A85048" w:rsidRDefault="00143AEB">
            <w:pPr>
              <w:jc w:val="center"/>
              <w:rPr>
                <w:sz w:val="20"/>
                <w:szCs w:val="20"/>
              </w:rPr>
            </w:pPr>
            <w:r>
              <w:rPr>
                <w:rFonts w:eastAsia="等线"/>
                <w:sz w:val="20"/>
                <w:szCs w:val="20"/>
              </w:rPr>
              <w:t>8</w:t>
            </w:r>
          </w:p>
        </w:tc>
        <w:tc>
          <w:tcPr>
            <w:tcW w:w="6595" w:type="dxa"/>
            <w:tcBorders>
              <w:top w:val="nil"/>
              <w:left w:val="nil"/>
              <w:bottom w:val="nil"/>
              <w:right w:val="nil"/>
            </w:tcBorders>
          </w:tcPr>
          <w:p w14:paraId="735F2EE2" w14:textId="77777777" w:rsidR="00A85048" w:rsidRDefault="00143AEB">
            <w:pPr>
              <w:jc w:val="center"/>
              <w:rPr>
                <w:sz w:val="20"/>
                <w:szCs w:val="20"/>
                <w:lang w:eastAsia="zh-CN"/>
              </w:rPr>
            </w:pPr>
            <w:r>
              <w:rPr>
                <w:sz w:val="20"/>
                <w:szCs w:val="20"/>
                <w:lang w:eastAsia="zh-CN"/>
              </w:rPr>
              <w:t>严重偏瘫，无法行动，缺血对侧后肢无力，呼吸急促。</w:t>
            </w:r>
          </w:p>
        </w:tc>
      </w:tr>
      <w:tr w:rsidR="00A85048" w14:paraId="08E65711" w14:textId="77777777">
        <w:tc>
          <w:tcPr>
            <w:tcW w:w="1701" w:type="dxa"/>
            <w:tcBorders>
              <w:top w:val="nil"/>
              <w:left w:val="nil"/>
              <w:bottom w:val="nil"/>
              <w:right w:val="nil"/>
            </w:tcBorders>
          </w:tcPr>
          <w:p w14:paraId="19578D9B" w14:textId="77777777" w:rsidR="00A85048" w:rsidRDefault="00143AEB">
            <w:pPr>
              <w:jc w:val="center"/>
              <w:rPr>
                <w:sz w:val="20"/>
                <w:szCs w:val="20"/>
              </w:rPr>
            </w:pPr>
            <w:r>
              <w:rPr>
                <w:rFonts w:eastAsia="等线"/>
                <w:sz w:val="20"/>
                <w:szCs w:val="20"/>
              </w:rPr>
              <w:t>9</w:t>
            </w:r>
          </w:p>
        </w:tc>
        <w:tc>
          <w:tcPr>
            <w:tcW w:w="6595" w:type="dxa"/>
            <w:tcBorders>
              <w:top w:val="nil"/>
              <w:left w:val="nil"/>
              <w:bottom w:val="nil"/>
              <w:right w:val="nil"/>
            </w:tcBorders>
          </w:tcPr>
          <w:p w14:paraId="4EE02B34" w14:textId="77777777" w:rsidR="00A85048" w:rsidRDefault="00143AEB">
            <w:pPr>
              <w:jc w:val="center"/>
              <w:rPr>
                <w:sz w:val="20"/>
                <w:szCs w:val="20"/>
                <w:lang w:eastAsia="zh-CN"/>
              </w:rPr>
            </w:pPr>
            <w:r>
              <w:rPr>
                <w:sz w:val="20"/>
                <w:szCs w:val="20"/>
                <w:lang w:eastAsia="zh-CN"/>
              </w:rPr>
              <w:t>无意识，失去行动能力，身体蜷曲，呼吸微弱。</w:t>
            </w:r>
          </w:p>
        </w:tc>
      </w:tr>
      <w:tr w:rsidR="00A85048" w14:paraId="51A07A91" w14:textId="77777777">
        <w:tc>
          <w:tcPr>
            <w:tcW w:w="1701" w:type="dxa"/>
            <w:tcBorders>
              <w:top w:val="nil"/>
              <w:left w:val="nil"/>
              <w:bottom w:val="single" w:sz="8" w:space="0" w:color="auto"/>
              <w:right w:val="nil"/>
            </w:tcBorders>
          </w:tcPr>
          <w:p w14:paraId="07A6CD3E" w14:textId="77777777" w:rsidR="00A85048" w:rsidRDefault="00143AEB">
            <w:pPr>
              <w:jc w:val="center"/>
              <w:rPr>
                <w:sz w:val="20"/>
                <w:szCs w:val="20"/>
              </w:rPr>
            </w:pPr>
            <w:r>
              <w:rPr>
                <w:rFonts w:eastAsia="等线"/>
                <w:sz w:val="20"/>
                <w:szCs w:val="20"/>
              </w:rPr>
              <w:t>1</w:t>
            </w:r>
            <w:r>
              <w:rPr>
                <w:sz w:val="20"/>
                <w:szCs w:val="20"/>
              </w:rPr>
              <w:t>0</w:t>
            </w:r>
          </w:p>
        </w:tc>
        <w:tc>
          <w:tcPr>
            <w:tcW w:w="6595" w:type="dxa"/>
            <w:tcBorders>
              <w:top w:val="nil"/>
              <w:left w:val="nil"/>
              <w:bottom w:val="single" w:sz="8" w:space="0" w:color="auto"/>
              <w:right w:val="nil"/>
            </w:tcBorders>
          </w:tcPr>
          <w:p w14:paraId="251C817E" w14:textId="77777777" w:rsidR="00A85048" w:rsidRDefault="00143AEB">
            <w:pPr>
              <w:keepNext/>
              <w:jc w:val="center"/>
              <w:rPr>
                <w:sz w:val="20"/>
                <w:szCs w:val="20"/>
              </w:rPr>
            </w:pPr>
            <w:r>
              <w:rPr>
                <w:sz w:val="20"/>
                <w:szCs w:val="20"/>
              </w:rPr>
              <w:t>死亡。</w:t>
            </w:r>
          </w:p>
        </w:tc>
      </w:tr>
    </w:tbl>
    <w:p w14:paraId="148AE492" w14:textId="77777777" w:rsidR="00A85048" w:rsidRDefault="00A85048">
      <w:pPr>
        <w:spacing w:line="360" w:lineRule="auto"/>
        <w:rPr>
          <w:rFonts w:ascii="黑体" w:eastAsia="黑体" w:hAnsi="黑体" w:cs="黑体" w:hint="eastAsia"/>
          <w:sz w:val="21"/>
          <w:szCs w:val="21"/>
          <w:lang w:eastAsia="zh-CN"/>
        </w:rPr>
      </w:pPr>
    </w:p>
    <w:p w14:paraId="2F6F6AFD"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5.2 行为学评价</w:t>
      </w:r>
    </w:p>
    <w:p w14:paraId="60683D5B" w14:textId="77777777" w:rsidR="00A85048" w:rsidRDefault="00143AEB">
      <w:pPr>
        <w:spacing w:line="360" w:lineRule="auto"/>
        <w:rPr>
          <w:sz w:val="21"/>
          <w:szCs w:val="21"/>
          <w:lang w:eastAsia="zh-CN"/>
        </w:rPr>
      </w:pPr>
      <w:r>
        <w:rPr>
          <w:sz w:val="21"/>
          <w:szCs w:val="21"/>
          <w:lang w:eastAsia="zh-CN"/>
        </w:rPr>
        <w:t>5.2.1</w:t>
      </w:r>
      <w:r>
        <w:rPr>
          <w:sz w:val="21"/>
          <w:szCs w:val="21"/>
          <w:lang w:eastAsia="zh-CN"/>
        </w:rPr>
        <w:t>抓力评分</w:t>
      </w:r>
    </w:p>
    <w:p w14:paraId="1A06B6E9" w14:textId="77777777" w:rsidR="00A85048" w:rsidRDefault="00143AEB">
      <w:pPr>
        <w:spacing w:line="360" w:lineRule="auto"/>
        <w:ind w:firstLineChars="200" w:firstLine="420"/>
        <w:rPr>
          <w:sz w:val="21"/>
          <w:szCs w:val="21"/>
          <w:lang w:eastAsia="zh-CN"/>
        </w:rPr>
      </w:pPr>
      <w:r>
        <w:rPr>
          <w:sz w:val="21"/>
          <w:szCs w:val="21"/>
          <w:lang w:eastAsia="zh-CN"/>
        </w:rPr>
        <w:t>将动物水平置于由直径为</w:t>
      </w:r>
      <w:r>
        <w:rPr>
          <w:sz w:val="21"/>
          <w:szCs w:val="21"/>
          <w:lang w:eastAsia="zh-CN"/>
        </w:rPr>
        <w:t>3mm</w:t>
      </w:r>
      <w:r>
        <w:rPr>
          <w:sz w:val="21"/>
          <w:szCs w:val="21"/>
          <w:lang w:eastAsia="zh-CN"/>
        </w:rPr>
        <w:t>的横杆组成的爬架上，高于桌面</w:t>
      </w:r>
      <w:r>
        <w:rPr>
          <w:sz w:val="21"/>
          <w:szCs w:val="21"/>
          <w:lang w:eastAsia="zh-CN"/>
        </w:rPr>
        <w:t>30cm</w:t>
      </w:r>
      <w:r>
        <w:rPr>
          <w:sz w:val="21"/>
          <w:szCs w:val="21"/>
          <w:lang w:eastAsia="zh-CN"/>
        </w:rPr>
        <w:t>。当前肢抓握横杆后，将爬架快速翻转至垂直，致使动物由四肢抓握悬挂于爬架上，此时开始计时，记录动物从翻转爬架至掉落的悬挂时间来评估动物四肢抓力。评分规则如下：悬挂时间</w:t>
      </w:r>
      <w:r>
        <w:rPr>
          <w:sz w:val="21"/>
          <w:szCs w:val="21"/>
          <w:lang w:eastAsia="zh-CN"/>
        </w:rPr>
        <w:t>≥10s</w:t>
      </w:r>
      <w:r>
        <w:rPr>
          <w:sz w:val="21"/>
          <w:szCs w:val="21"/>
          <w:lang w:eastAsia="zh-CN"/>
        </w:rPr>
        <w:t>，记为</w:t>
      </w:r>
      <w:r>
        <w:rPr>
          <w:sz w:val="21"/>
          <w:szCs w:val="21"/>
          <w:lang w:eastAsia="zh-CN"/>
        </w:rPr>
        <w:t>0</w:t>
      </w:r>
      <w:r>
        <w:rPr>
          <w:sz w:val="21"/>
          <w:szCs w:val="21"/>
          <w:lang w:eastAsia="zh-CN"/>
        </w:rPr>
        <w:t>分；</w:t>
      </w:r>
      <w:r>
        <w:rPr>
          <w:sz w:val="21"/>
          <w:szCs w:val="21"/>
          <w:lang w:eastAsia="zh-CN"/>
        </w:rPr>
        <w:t>10s</w:t>
      </w:r>
      <w:r>
        <w:rPr>
          <w:sz w:val="21"/>
          <w:szCs w:val="21"/>
          <w:lang w:eastAsia="zh-CN"/>
        </w:rPr>
        <w:t>＞悬挂时间</w:t>
      </w:r>
      <w:r>
        <w:rPr>
          <w:sz w:val="21"/>
          <w:szCs w:val="21"/>
          <w:lang w:eastAsia="zh-CN"/>
        </w:rPr>
        <w:t>≥5s</w:t>
      </w:r>
      <w:r>
        <w:rPr>
          <w:sz w:val="21"/>
          <w:szCs w:val="21"/>
          <w:lang w:eastAsia="zh-CN"/>
        </w:rPr>
        <w:t>，记为</w:t>
      </w:r>
      <w:r>
        <w:rPr>
          <w:sz w:val="21"/>
          <w:szCs w:val="21"/>
          <w:lang w:eastAsia="zh-CN"/>
        </w:rPr>
        <w:t>1</w:t>
      </w:r>
      <w:r>
        <w:rPr>
          <w:sz w:val="21"/>
          <w:szCs w:val="21"/>
          <w:lang w:eastAsia="zh-CN"/>
        </w:rPr>
        <w:t>分；</w:t>
      </w:r>
      <w:r>
        <w:rPr>
          <w:sz w:val="21"/>
          <w:szCs w:val="21"/>
          <w:lang w:eastAsia="zh-CN"/>
        </w:rPr>
        <w:t>5s</w:t>
      </w:r>
      <w:r>
        <w:rPr>
          <w:sz w:val="21"/>
          <w:szCs w:val="21"/>
          <w:lang w:eastAsia="zh-CN"/>
        </w:rPr>
        <w:t>＞悬挂时间</w:t>
      </w:r>
      <w:r>
        <w:rPr>
          <w:sz w:val="21"/>
          <w:szCs w:val="21"/>
          <w:lang w:eastAsia="zh-CN"/>
        </w:rPr>
        <w:t>≥1s</w:t>
      </w:r>
      <w:r>
        <w:rPr>
          <w:sz w:val="21"/>
          <w:szCs w:val="21"/>
          <w:lang w:eastAsia="zh-CN"/>
        </w:rPr>
        <w:t>，记为</w:t>
      </w:r>
      <w:r>
        <w:rPr>
          <w:sz w:val="21"/>
          <w:szCs w:val="21"/>
          <w:lang w:eastAsia="zh-CN"/>
        </w:rPr>
        <w:t>2</w:t>
      </w:r>
      <w:r>
        <w:rPr>
          <w:sz w:val="21"/>
          <w:szCs w:val="21"/>
          <w:lang w:eastAsia="zh-CN"/>
        </w:rPr>
        <w:t>分；悬挂时间为</w:t>
      </w:r>
      <w:r>
        <w:rPr>
          <w:sz w:val="21"/>
          <w:szCs w:val="21"/>
          <w:lang w:eastAsia="zh-CN"/>
        </w:rPr>
        <w:t>0s</w:t>
      </w:r>
      <w:r>
        <w:rPr>
          <w:sz w:val="21"/>
          <w:szCs w:val="21"/>
          <w:lang w:eastAsia="zh-CN"/>
        </w:rPr>
        <w:t>，记为</w:t>
      </w:r>
      <w:r>
        <w:rPr>
          <w:sz w:val="21"/>
          <w:szCs w:val="21"/>
          <w:lang w:eastAsia="zh-CN"/>
        </w:rPr>
        <w:t>3</w:t>
      </w:r>
      <w:r>
        <w:rPr>
          <w:sz w:val="21"/>
          <w:szCs w:val="21"/>
          <w:lang w:eastAsia="zh-CN"/>
        </w:rPr>
        <w:t>分。评分越高表示抓力能力损伤越严重。</w:t>
      </w:r>
    </w:p>
    <w:p w14:paraId="0EA3BCDF" w14:textId="77777777" w:rsidR="00A85048" w:rsidRDefault="00143AEB">
      <w:pPr>
        <w:spacing w:line="360" w:lineRule="auto"/>
        <w:rPr>
          <w:sz w:val="21"/>
          <w:szCs w:val="21"/>
          <w:lang w:eastAsia="zh-CN"/>
        </w:rPr>
      </w:pPr>
      <w:r>
        <w:rPr>
          <w:sz w:val="21"/>
          <w:szCs w:val="21"/>
          <w:lang w:eastAsia="zh-CN"/>
        </w:rPr>
        <w:t xml:space="preserve">5.2.2 </w:t>
      </w:r>
      <w:r>
        <w:rPr>
          <w:sz w:val="21"/>
          <w:szCs w:val="21"/>
          <w:lang w:eastAsia="zh-CN"/>
        </w:rPr>
        <w:t>转棒实验</w:t>
      </w:r>
    </w:p>
    <w:p w14:paraId="3A9181A4" w14:textId="77777777" w:rsidR="00A85048" w:rsidRDefault="00143AEB">
      <w:pPr>
        <w:spacing w:line="360" w:lineRule="auto"/>
        <w:ind w:firstLineChars="200" w:firstLine="420"/>
        <w:rPr>
          <w:sz w:val="21"/>
          <w:szCs w:val="21"/>
          <w:lang w:eastAsia="zh-CN"/>
        </w:rPr>
      </w:pPr>
      <w:r>
        <w:rPr>
          <w:sz w:val="21"/>
          <w:szCs w:val="21"/>
          <w:lang w:eastAsia="zh-CN"/>
        </w:rPr>
        <w:t>转棒实验分为获得阶段和实验阶段两个部分。获得阶段：将长爪沙鼠置于旋转棒上，以</w:t>
      </w:r>
      <w:r>
        <w:rPr>
          <w:sz w:val="21"/>
          <w:szCs w:val="21"/>
          <w:lang w:eastAsia="zh-CN"/>
        </w:rPr>
        <w:t>9rpm</w:t>
      </w:r>
      <w:r>
        <w:rPr>
          <w:sz w:val="21"/>
          <w:szCs w:val="21"/>
          <w:lang w:eastAsia="zh-CN"/>
        </w:rPr>
        <w:t>进行匀速转动训练，每次</w:t>
      </w:r>
      <w:r>
        <w:rPr>
          <w:sz w:val="21"/>
          <w:szCs w:val="21"/>
          <w:lang w:eastAsia="zh-CN"/>
        </w:rPr>
        <w:t>2 min</w:t>
      </w:r>
      <w:r>
        <w:rPr>
          <w:sz w:val="21"/>
          <w:szCs w:val="21"/>
          <w:lang w:eastAsia="zh-CN"/>
        </w:rPr>
        <w:t>，每天连续</w:t>
      </w:r>
      <w:r>
        <w:rPr>
          <w:sz w:val="21"/>
          <w:szCs w:val="21"/>
          <w:lang w:eastAsia="zh-CN"/>
        </w:rPr>
        <w:t>3</w:t>
      </w:r>
      <w:r>
        <w:rPr>
          <w:sz w:val="21"/>
          <w:szCs w:val="21"/>
          <w:lang w:eastAsia="zh-CN"/>
        </w:rPr>
        <w:t>次，共</w:t>
      </w:r>
      <w:r>
        <w:rPr>
          <w:sz w:val="21"/>
          <w:szCs w:val="21"/>
          <w:lang w:eastAsia="zh-CN"/>
        </w:rPr>
        <w:t>3</w:t>
      </w:r>
      <w:r>
        <w:rPr>
          <w:sz w:val="21"/>
          <w:szCs w:val="21"/>
          <w:lang w:eastAsia="zh-CN"/>
        </w:rPr>
        <w:t>天。实验阶段：将动物置于旋转棒上，使其以初始速度为</w:t>
      </w:r>
      <w:r>
        <w:rPr>
          <w:sz w:val="21"/>
          <w:szCs w:val="21"/>
          <w:lang w:eastAsia="zh-CN"/>
        </w:rPr>
        <w:t>0 rpm</w:t>
      </w:r>
      <w:r>
        <w:rPr>
          <w:sz w:val="21"/>
          <w:szCs w:val="21"/>
          <w:lang w:eastAsia="zh-CN"/>
        </w:rPr>
        <w:t>，加速度</w:t>
      </w:r>
      <w:r>
        <w:rPr>
          <w:sz w:val="21"/>
          <w:szCs w:val="21"/>
          <w:lang w:eastAsia="zh-CN"/>
        </w:rPr>
        <w:t>5 rpm/min</w:t>
      </w:r>
      <w:r>
        <w:rPr>
          <w:sz w:val="21"/>
          <w:szCs w:val="21"/>
          <w:lang w:eastAsia="zh-CN"/>
        </w:rPr>
        <w:t>，最大速度为</w:t>
      </w:r>
      <w:r>
        <w:rPr>
          <w:sz w:val="21"/>
          <w:szCs w:val="21"/>
          <w:lang w:eastAsia="zh-CN"/>
        </w:rPr>
        <w:t>15rpm</w:t>
      </w:r>
      <w:r>
        <w:rPr>
          <w:sz w:val="21"/>
          <w:szCs w:val="21"/>
          <w:lang w:eastAsia="zh-CN"/>
        </w:rPr>
        <w:t>进行运动，时长</w:t>
      </w:r>
      <w:r>
        <w:rPr>
          <w:sz w:val="21"/>
          <w:szCs w:val="21"/>
          <w:lang w:eastAsia="zh-CN"/>
        </w:rPr>
        <w:t>2min</w:t>
      </w:r>
      <w:r>
        <w:rPr>
          <w:sz w:val="21"/>
          <w:szCs w:val="21"/>
          <w:lang w:eastAsia="zh-CN"/>
        </w:rPr>
        <w:t>，记录动物掉落时间（即转棒上运动时间）。</w:t>
      </w:r>
    </w:p>
    <w:p w14:paraId="7B27471E"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5.3 梗死灶检测</w:t>
      </w:r>
    </w:p>
    <w:p w14:paraId="2CE0423C" w14:textId="77777777" w:rsidR="00A85048" w:rsidRDefault="00143AEB">
      <w:pPr>
        <w:spacing w:line="360" w:lineRule="auto"/>
        <w:rPr>
          <w:rFonts w:eastAsia="黑体"/>
          <w:sz w:val="21"/>
          <w:szCs w:val="21"/>
          <w:lang w:eastAsia="zh-CN"/>
        </w:rPr>
      </w:pPr>
      <w:r>
        <w:rPr>
          <w:rFonts w:eastAsia="黑体"/>
          <w:sz w:val="21"/>
          <w:szCs w:val="21"/>
          <w:lang w:eastAsia="zh-CN"/>
        </w:rPr>
        <w:t>5.3.1 TTC</w:t>
      </w:r>
      <w:r>
        <w:rPr>
          <w:rFonts w:eastAsia="黑体"/>
          <w:sz w:val="21"/>
          <w:szCs w:val="21"/>
          <w:lang w:eastAsia="zh-CN"/>
        </w:rPr>
        <w:t>染色</w:t>
      </w:r>
    </w:p>
    <w:p w14:paraId="3259C6D9" w14:textId="77777777" w:rsidR="00A85048" w:rsidRDefault="00143AEB">
      <w:pPr>
        <w:spacing w:line="360" w:lineRule="auto"/>
        <w:ind w:firstLineChars="200" w:firstLine="420"/>
        <w:rPr>
          <w:sz w:val="21"/>
          <w:szCs w:val="21"/>
          <w:lang w:eastAsia="zh-CN"/>
        </w:rPr>
      </w:pPr>
      <w:r>
        <w:rPr>
          <w:sz w:val="21"/>
          <w:szCs w:val="21"/>
          <w:lang w:eastAsia="zh-CN"/>
        </w:rPr>
        <w:t>I/R</w:t>
      </w:r>
      <w:r>
        <w:rPr>
          <w:sz w:val="21"/>
          <w:szCs w:val="21"/>
          <w:lang w:eastAsia="zh-CN"/>
        </w:rPr>
        <w:t>模型长爪沙鼠脑组织取出后放入模具置于冰上，切成</w:t>
      </w:r>
      <w:r>
        <w:rPr>
          <w:sz w:val="21"/>
          <w:szCs w:val="21"/>
          <w:lang w:eastAsia="zh-CN"/>
        </w:rPr>
        <w:t>5</w:t>
      </w:r>
      <w:r>
        <w:rPr>
          <w:sz w:val="21"/>
          <w:szCs w:val="21"/>
          <w:lang w:eastAsia="zh-CN"/>
        </w:rPr>
        <w:t>个厚度为</w:t>
      </w:r>
      <w:r>
        <w:rPr>
          <w:sz w:val="21"/>
          <w:szCs w:val="21"/>
          <w:lang w:eastAsia="zh-CN"/>
        </w:rPr>
        <w:t>2 mm</w:t>
      </w:r>
      <w:r>
        <w:rPr>
          <w:sz w:val="21"/>
          <w:szCs w:val="21"/>
          <w:lang w:eastAsia="zh-CN"/>
        </w:rPr>
        <w:t>的均匀冠状切片，将脑切片统一朝向放入</w:t>
      </w:r>
      <w:r>
        <w:rPr>
          <w:sz w:val="21"/>
          <w:szCs w:val="21"/>
          <w:lang w:eastAsia="zh-CN"/>
        </w:rPr>
        <w:t>37℃</w:t>
      </w:r>
      <w:r>
        <w:rPr>
          <w:sz w:val="21"/>
          <w:szCs w:val="21"/>
          <w:lang w:eastAsia="zh-CN"/>
        </w:rPr>
        <w:t>预热的</w:t>
      </w:r>
      <w:r>
        <w:rPr>
          <w:sz w:val="21"/>
          <w:szCs w:val="21"/>
          <w:lang w:eastAsia="zh-CN"/>
        </w:rPr>
        <w:t>2% TTC</w:t>
      </w:r>
      <w:r>
        <w:rPr>
          <w:sz w:val="21"/>
          <w:szCs w:val="21"/>
          <w:lang w:eastAsia="zh-CN"/>
        </w:rPr>
        <w:t>染液中，避光染色</w:t>
      </w:r>
      <w:r>
        <w:rPr>
          <w:sz w:val="21"/>
          <w:szCs w:val="21"/>
          <w:lang w:eastAsia="zh-CN"/>
        </w:rPr>
        <w:t>10 min</w:t>
      </w:r>
      <w:r>
        <w:rPr>
          <w:sz w:val="21"/>
          <w:szCs w:val="21"/>
          <w:lang w:eastAsia="zh-CN"/>
        </w:rPr>
        <w:t>。同面朝上进</w:t>
      </w:r>
      <w:r>
        <w:rPr>
          <w:sz w:val="21"/>
          <w:szCs w:val="21"/>
          <w:lang w:eastAsia="zh-CN"/>
        </w:rPr>
        <w:lastRenderedPageBreak/>
        <w:t>行拍照，利用</w:t>
      </w:r>
      <w:r>
        <w:rPr>
          <w:sz w:val="21"/>
          <w:szCs w:val="21"/>
          <w:lang w:eastAsia="zh-CN"/>
        </w:rPr>
        <w:t>Image J</w:t>
      </w:r>
      <w:r>
        <w:rPr>
          <w:sz w:val="21"/>
          <w:szCs w:val="21"/>
          <w:lang w:eastAsia="zh-CN"/>
        </w:rPr>
        <w:t>分析脑梗死体积。梗死率（</w:t>
      </w:r>
      <w:r>
        <w:rPr>
          <w:sz w:val="21"/>
          <w:szCs w:val="21"/>
          <w:lang w:eastAsia="zh-CN"/>
        </w:rPr>
        <w:t>%</w:t>
      </w:r>
      <w:r>
        <w:rPr>
          <w:sz w:val="21"/>
          <w:szCs w:val="21"/>
          <w:lang w:eastAsia="zh-CN"/>
        </w:rPr>
        <w:t>）</w:t>
      </w:r>
      <w:r>
        <w:rPr>
          <w:sz w:val="21"/>
          <w:szCs w:val="21"/>
          <w:lang w:eastAsia="zh-CN"/>
        </w:rPr>
        <w:t>=∑</w:t>
      </w:r>
      <w:r>
        <w:rPr>
          <w:sz w:val="21"/>
          <w:szCs w:val="21"/>
          <w:lang w:eastAsia="zh-CN"/>
        </w:rPr>
        <w:t>各切片梗死区域面积</w:t>
      </w:r>
      <w:r>
        <w:rPr>
          <w:sz w:val="21"/>
          <w:szCs w:val="21"/>
          <w:lang w:eastAsia="zh-CN"/>
        </w:rPr>
        <w:t>/∑</w:t>
      </w:r>
      <w:r>
        <w:rPr>
          <w:sz w:val="21"/>
          <w:szCs w:val="21"/>
          <w:lang w:eastAsia="zh-CN"/>
        </w:rPr>
        <w:t>各切片面积</w:t>
      </w:r>
      <w:r>
        <w:rPr>
          <w:sz w:val="21"/>
          <w:szCs w:val="21"/>
          <w:lang w:eastAsia="zh-CN"/>
        </w:rPr>
        <w:t>×100%</w:t>
      </w:r>
      <w:r>
        <w:rPr>
          <w:sz w:val="21"/>
          <w:szCs w:val="21"/>
          <w:lang w:eastAsia="zh-CN"/>
        </w:rPr>
        <w:t>。</w:t>
      </w:r>
    </w:p>
    <w:p w14:paraId="392E3E83" w14:textId="77777777" w:rsidR="00A85048" w:rsidRDefault="00143AEB">
      <w:pPr>
        <w:spacing w:line="360" w:lineRule="auto"/>
        <w:rPr>
          <w:rFonts w:eastAsia="黑体"/>
          <w:sz w:val="21"/>
          <w:szCs w:val="21"/>
          <w:lang w:eastAsia="zh-CN"/>
        </w:rPr>
      </w:pPr>
      <w:r>
        <w:rPr>
          <w:rFonts w:eastAsia="黑体"/>
          <w:sz w:val="21"/>
          <w:szCs w:val="21"/>
          <w:lang w:eastAsia="zh-CN"/>
        </w:rPr>
        <w:t>5.3.2 Nissl</w:t>
      </w:r>
      <w:r>
        <w:rPr>
          <w:rFonts w:eastAsia="黑体"/>
          <w:sz w:val="21"/>
          <w:szCs w:val="21"/>
          <w:lang w:eastAsia="zh-CN"/>
        </w:rPr>
        <w:t>染色</w:t>
      </w:r>
    </w:p>
    <w:p w14:paraId="3E20EC99" w14:textId="77777777" w:rsidR="00A85048" w:rsidRDefault="00143AEB">
      <w:pPr>
        <w:spacing w:line="360" w:lineRule="auto"/>
        <w:ind w:firstLineChars="200" w:firstLine="420"/>
        <w:rPr>
          <w:rFonts w:ascii="宋体" w:hAnsi="宋体" w:cs="宋体" w:hint="eastAsia"/>
          <w:sz w:val="21"/>
          <w:szCs w:val="21"/>
          <w:lang w:eastAsia="zh-CN"/>
        </w:rPr>
      </w:pPr>
      <w:r>
        <w:rPr>
          <w:sz w:val="21"/>
          <w:lang w:eastAsia="zh-CN"/>
        </w:rPr>
        <w:t>厚度为</w:t>
      </w:r>
      <w:r>
        <w:rPr>
          <w:sz w:val="21"/>
          <w:lang w:eastAsia="zh-CN"/>
        </w:rPr>
        <w:t>5</w:t>
      </w:r>
      <w:r>
        <w:rPr>
          <w:sz w:val="21"/>
        </w:rPr>
        <w:t>μ</w:t>
      </w:r>
      <w:r>
        <w:rPr>
          <w:sz w:val="21"/>
          <w:lang w:eastAsia="zh-CN"/>
        </w:rPr>
        <w:t>m</w:t>
      </w:r>
      <w:r>
        <w:rPr>
          <w:sz w:val="21"/>
          <w:lang w:eastAsia="zh-CN"/>
        </w:rPr>
        <w:t>的脑组织石蜡切片经过二甲苯脱蜡、梯度酒精复水及蒸馏水洗涤后，</w:t>
      </w:r>
      <w:r>
        <w:rPr>
          <w:sz w:val="21"/>
          <w:lang w:eastAsia="zh-CN"/>
        </w:rPr>
        <w:t>Nissl</w:t>
      </w:r>
      <w:r>
        <w:rPr>
          <w:sz w:val="21"/>
          <w:lang w:eastAsia="zh-CN"/>
        </w:rPr>
        <w:t>染色液染色</w:t>
      </w:r>
      <w:r>
        <w:rPr>
          <w:sz w:val="21"/>
          <w:lang w:eastAsia="zh-CN"/>
        </w:rPr>
        <w:t>10 min</w:t>
      </w:r>
      <w:r>
        <w:rPr>
          <w:sz w:val="21"/>
          <w:lang w:eastAsia="zh-CN"/>
        </w:rPr>
        <w:t>，神经元中的尼式小体染为紫红色，再分别经过蒸馏水洗涤、梯度酒精脱水及二甲苯透明，最后中性树胶封片晾干后，显微镜拍照及观察分析。</w:t>
      </w:r>
    </w:p>
    <w:p w14:paraId="10218E97" w14:textId="77777777" w:rsidR="00A85048" w:rsidRDefault="00143AEB">
      <w:pPr>
        <w:spacing w:line="360" w:lineRule="auto"/>
        <w:rPr>
          <w:rFonts w:ascii="黑体" w:eastAsia="黑体" w:hAnsi="黑体" w:cs="黑体" w:hint="eastAsia"/>
          <w:sz w:val="21"/>
          <w:szCs w:val="21"/>
          <w:lang w:eastAsia="zh-CN"/>
        </w:rPr>
      </w:pPr>
      <w:r>
        <w:rPr>
          <w:rFonts w:ascii="黑体" w:eastAsia="黑体" w:hAnsi="黑体" w:cs="黑体" w:hint="eastAsia"/>
          <w:sz w:val="21"/>
          <w:szCs w:val="21"/>
          <w:lang w:eastAsia="zh-CN"/>
        </w:rPr>
        <w:t>5.4 病理特征</w:t>
      </w:r>
    </w:p>
    <w:p w14:paraId="7267E4A2" w14:textId="77777777" w:rsidR="00A85048" w:rsidRDefault="00143AEB">
      <w:pPr>
        <w:spacing w:line="360" w:lineRule="auto"/>
        <w:rPr>
          <w:rFonts w:eastAsia="黑体"/>
          <w:sz w:val="21"/>
          <w:szCs w:val="21"/>
          <w:lang w:eastAsia="zh-CN"/>
        </w:rPr>
      </w:pPr>
      <w:r>
        <w:rPr>
          <w:rFonts w:eastAsia="黑体" w:hint="eastAsia"/>
          <w:sz w:val="21"/>
          <w:szCs w:val="21"/>
          <w:lang w:eastAsia="zh-CN"/>
        </w:rPr>
        <w:t>5.4.1 H&amp;E</w:t>
      </w:r>
      <w:r>
        <w:rPr>
          <w:rFonts w:eastAsia="黑体" w:hint="eastAsia"/>
          <w:sz w:val="21"/>
          <w:szCs w:val="21"/>
          <w:lang w:eastAsia="zh-CN"/>
        </w:rPr>
        <w:t>染色</w:t>
      </w:r>
    </w:p>
    <w:p w14:paraId="16BB1A62" w14:textId="77777777" w:rsidR="00A85048" w:rsidRDefault="00143AEB">
      <w:pPr>
        <w:spacing w:line="360" w:lineRule="auto"/>
        <w:ind w:firstLineChars="200" w:firstLine="420"/>
        <w:rPr>
          <w:sz w:val="21"/>
          <w:lang w:eastAsia="zh-CN"/>
        </w:rPr>
      </w:pPr>
      <w:r>
        <w:rPr>
          <w:sz w:val="21"/>
          <w:lang w:eastAsia="zh-CN"/>
        </w:rPr>
        <w:t>厚度为</w:t>
      </w:r>
      <w:r>
        <w:rPr>
          <w:sz w:val="21"/>
          <w:lang w:eastAsia="zh-CN"/>
        </w:rPr>
        <w:t>5</w:t>
      </w:r>
      <w:r>
        <w:rPr>
          <w:sz w:val="21"/>
        </w:rPr>
        <w:t>μ</w:t>
      </w:r>
      <w:r>
        <w:rPr>
          <w:sz w:val="21"/>
          <w:lang w:eastAsia="zh-CN"/>
        </w:rPr>
        <w:t>m</w:t>
      </w:r>
      <w:r>
        <w:rPr>
          <w:sz w:val="21"/>
          <w:lang w:eastAsia="zh-CN"/>
        </w:rPr>
        <w:t>的脑组织石蜡切片经过二甲苯脱蜡、梯度酒精复水及蒸馏水洗涤后，苏木青染色</w:t>
      </w:r>
      <w:r>
        <w:rPr>
          <w:sz w:val="21"/>
          <w:lang w:eastAsia="zh-CN"/>
        </w:rPr>
        <w:t>5min</w:t>
      </w:r>
      <w:r>
        <w:rPr>
          <w:sz w:val="21"/>
          <w:lang w:eastAsia="zh-CN"/>
        </w:rPr>
        <w:t>，流水冲洗后使用</w:t>
      </w:r>
      <w:r>
        <w:rPr>
          <w:sz w:val="21"/>
          <w:lang w:eastAsia="zh-CN"/>
        </w:rPr>
        <w:t>1%</w:t>
      </w:r>
      <w:r>
        <w:rPr>
          <w:sz w:val="21"/>
          <w:lang w:eastAsia="zh-CN"/>
        </w:rPr>
        <w:t>盐酸乙醇分化数秒，蒸馏水洗涤后伊红染色</w:t>
      </w:r>
      <w:r>
        <w:rPr>
          <w:sz w:val="21"/>
          <w:lang w:eastAsia="zh-CN"/>
        </w:rPr>
        <w:t>3min</w:t>
      </w:r>
      <w:r>
        <w:rPr>
          <w:sz w:val="21"/>
          <w:lang w:eastAsia="zh-CN"/>
        </w:rPr>
        <w:t>，蒸馏水洗涤后梯度酒精脱水和二甲苯透明，中性树胶封片，显微镜拍照及观察分析。</w:t>
      </w:r>
    </w:p>
    <w:p w14:paraId="22EFDB13" w14:textId="77777777" w:rsidR="00A85048" w:rsidRDefault="00143AEB">
      <w:pPr>
        <w:spacing w:line="360" w:lineRule="auto"/>
        <w:ind w:firstLineChars="200" w:firstLine="420"/>
        <w:rPr>
          <w:rFonts w:ascii="宋体" w:hAnsi="宋体" w:cs="宋体" w:hint="eastAsia"/>
          <w:sz w:val="21"/>
          <w:lang w:eastAsia="zh-CN"/>
        </w:rPr>
      </w:pPr>
      <w:r>
        <w:rPr>
          <w:sz w:val="21"/>
          <w:lang w:eastAsia="zh-CN"/>
        </w:rPr>
        <w:t>脑缺血再灌注</w:t>
      </w:r>
      <w:r>
        <w:rPr>
          <w:sz w:val="21"/>
          <w:lang w:eastAsia="zh-CN"/>
        </w:rPr>
        <w:t>1 d</w:t>
      </w:r>
      <w:r>
        <w:rPr>
          <w:sz w:val="21"/>
          <w:lang w:eastAsia="zh-CN"/>
        </w:rPr>
        <w:t>后缺血侧会出现水肿，中央尼氏体消失，可见红色神经元、神经元核固缩等神经元死亡，轴突崩解及脱髓鞘现象，可见中性粒细胞渗出；再灌注</w:t>
      </w:r>
      <w:r>
        <w:rPr>
          <w:sz w:val="21"/>
          <w:lang w:eastAsia="zh-CN"/>
        </w:rPr>
        <w:t>3d</w:t>
      </w:r>
      <w:r>
        <w:rPr>
          <w:sz w:val="21"/>
          <w:lang w:eastAsia="zh-CN"/>
        </w:rPr>
        <w:t>后，神经元皱缩、死亡丢失加剧，出现空泡样结构</w:t>
      </w:r>
      <w:r>
        <w:rPr>
          <w:rFonts w:ascii="宋体" w:hAnsi="宋体" w:cs="宋体" w:hint="eastAsia"/>
          <w:sz w:val="21"/>
          <w:lang w:eastAsia="zh-CN"/>
        </w:rPr>
        <w:t>。</w:t>
      </w:r>
    </w:p>
    <w:p w14:paraId="66B42797" w14:textId="77777777" w:rsidR="00A85048" w:rsidRDefault="00A85048">
      <w:pPr>
        <w:rPr>
          <w:lang w:eastAsia="zh-CN"/>
        </w:rPr>
      </w:pPr>
    </w:p>
    <w:p w14:paraId="285FB4D5" w14:textId="77777777" w:rsidR="00A85048" w:rsidRDefault="00A85048">
      <w:pPr>
        <w:rPr>
          <w:lang w:eastAsia="zh-CN"/>
        </w:rPr>
      </w:pPr>
    </w:p>
    <w:p w14:paraId="7AA91535" w14:textId="77777777" w:rsidR="00A85048" w:rsidRDefault="00143AEB">
      <w:pPr>
        <w:jc w:val="center"/>
        <w:rPr>
          <w:lang w:eastAsia="zh-CN"/>
        </w:rPr>
      </w:pPr>
      <w:r>
        <w:rPr>
          <w:rFonts w:ascii="宋体" w:hAnsi="宋体" w:hint="eastAsia"/>
          <w:b/>
          <w:bCs/>
          <w:color w:val="000000"/>
          <w:sz w:val="21"/>
          <w:lang w:eastAsia="zh-CN"/>
        </w:rPr>
        <w:t>-------------------------</w:t>
      </w:r>
    </w:p>
    <w:sectPr w:rsidR="00A850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92291" w14:textId="77777777" w:rsidR="00C63141" w:rsidRDefault="00C63141">
      <w:r>
        <w:separator/>
      </w:r>
    </w:p>
  </w:endnote>
  <w:endnote w:type="continuationSeparator" w:id="0">
    <w:p w14:paraId="76BF18EF" w14:textId="77777777" w:rsidR="00C63141" w:rsidRDefault="00C6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default"/>
    <w:sig w:usb0="00000000" w:usb1="00000000" w:usb2="00000012" w:usb3="00000000" w:csb0="0002000D"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swiss"/>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8952D" w14:textId="77777777" w:rsidR="00A85048" w:rsidRDefault="00143AEB">
    <w:pPr>
      <w:pStyle w:val="a7"/>
      <w:ind w:right="360"/>
    </w:pPr>
    <w:r>
      <w:rPr>
        <w:noProof/>
      </w:rPr>
      <mc:AlternateContent>
        <mc:Choice Requires="wps">
          <w:drawing>
            <wp:anchor distT="0" distB="0" distL="114300" distR="114300" simplePos="0" relativeHeight="251660288" behindDoc="0" locked="0" layoutInCell="1" allowOverlap="1" wp14:anchorId="7AE93176" wp14:editId="5F1B885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74ABDB1" w14:textId="77777777" w:rsidR="00A85048" w:rsidRDefault="00143AEB">
                          <w:pPr>
                            <w:pStyle w:val="a7"/>
                            <w:rPr>
                              <w:rStyle w:val="aa"/>
                            </w:rPr>
                          </w:pPr>
                          <w:r>
                            <w:fldChar w:fldCharType="begin"/>
                          </w:r>
                          <w:r>
                            <w:rPr>
                              <w:rStyle w:val="aa"/>
                            </w:rPr>
                            <w:instrText xml:space="preserve">PAGE  </w:instrText>
                          </w:r>
                          <w:r>
                            <w:fldChar w:fldCharType="separate"/>
                          </w:r>
                          <w:r>
                            <w:rPr>
                              <w:rStyle w:val="aa"/>
                            </w:rPr>
                            <w:t>2</w:t>
                          </w:r>
                          <w:r>
                            <w:fldChar w:fldCharType="end"/>
                          </w:r>
                        </w:p>
                      </w:txbxContent>
                    </wps:txbx>
                    <wps:bodyPr wrap="none" lIns="0" tIns="0" rIns="0" bIns="0">
                      <a:spAutoFit/>
                    </wps:bodyPr>
                  </wps:wsp>
                </a:graphicData>
              </a:graphic>
            </wp:anchor>
          </w:drawing>
        </mc:Choice>
        <mc:Fallback>
          <w:pict>
            <v:shapetype w14:anchorId="7AE93176" id="_x0000_t202" coordsize="21600,21600" o:spt="202" path="m,l,21600r21600,l21600,xe">
              <v:stroke joinstyle="miter"/>
              <v:path gradientshapeok="t" o:connecttype="rect"/>
            </v:shapetype>
            <v:shape id="文本框 1"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674ABDB1" w14:textId="77777777" w:rsidR="00A85048" w:rsidRDefault="00143AEB">
                    <w:pPr>
                      <w:pStyle w:val="a7"/>
                      <w:rPr>
                        <w:rStyle w:val="aa"/>
                      </w:rPr>
                    </w:pPr>
                    <w:r>
                      <w:fldChar w:fldCharType="begin"/>
                    </w:r>
                    <w:r>
                      <w:rPr>
                        <w:rStyle w:val="aa"/>
                      </w:rPr>
                      <w:instrText xml:space="preserve">PAGE  </w:instrText>
                    </w:r>
                    <w:r>
                      <w:fldChar w:fldCharType="separate"/>
                    </w:r>
                    <w:r>
                      <w:rPr>
                        <w:rStyle w:val="aa"/>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B4D46" w14:textId="77777777" w:rsidR="00A85048" w:rsidRDefault="00143AEB">
    <w:pPr>
      <w:pStyle w:val="a7"/>
    </w:pPr>
    <w:r>
      <w:rPr>
        <w:noProof/>
      </w:rPr>
      <mc:AlternateContent>
        <mc:Choice Requires="wps">
          <w:drawing>
            <wp:anchor distT="0" distB="0" distL="114300" distR="114300" simplePos="0" relativeHeight="251661312" behindDoc="0" locked="0" layoutInCell="1" allowOverlap="1" wp14:anchorId="3E4AFB14" wp14:editId="5D8EF6F2">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A48318" w14:textId="77777777" w:rsidR="00A85048" w:rsidRDefault="00143AEB">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wps:txbx>
                    <wps:bodyPr wrap="none" lIns="0" tIns="0" rIns="0" bIns="0">
                      <a:spAutoFit/>
                    </wps:bodyPr>
                  </wps:wsp>
                </a:graphicData>
              </a:graphic>
            </wp:anchor>
          </w:drawing>
        </mc:Choice>
        <mc:Fallback>
          <w:pict>
            <v:shapetype w14:anchorId="3E4AFB14" id="_x0000_t202" coordsize="21600,21600" o:spt="202" path="m,l,21600r21600,l21600,xe">
              <v:stroke joinstyle="miter"/>
              <v:path gradientshapeok="t" o:connecttype="rect"/>
            </v:shapetype>
            <v:shape id="文本框 3"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50A48318" w14:textId="77777777" w:rsidR="00A85048" w:rsidRDefault="00143AEB">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0</w:t>
                    </w:r>
                    <w:r>
                      <w:rPr>
                        <w:rFonts w:hint="eastAsia"/>
                        <w:sz w:val="18"/>
                        <w:lang w:eastAsia="zh-CN"/>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906E9" w14:textId="77777777" w:rsidR="00C63141" w:rsidRDefault="00C63141">
      <w:r>
        <w:separator/>
      </w:r>
    </w:p>
  </w:footnote>
  <w:footnote w:type="continuationSeparator" w:id="0">
    <w:p w14:paraId="29BAC9FF" w14:textId="77777777" w:rsidR="00C63141" w:rsidRDefault="00C6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7B95F" w14:textId="77777777" w:rsidR="00A85048" w:rsidRDefault="00A85048">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2749D" w14:textId="77777777" w:rsidR="00A85048" w:rsidRDefault="00A85048">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4AC" w14:textId="77777777" w:rsidR="00A85048" w:rsidRDefault="00A85048">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trackRevisions/>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A2ZjA5Mjc1NTEyZGY5OTFhMjI2ZWI2MTFlY2RlMTAifQ=="/>
  </w:docVars>
  <w:rsids>
    <w:rsidRoot w:val="00F62825"/>
    <w:rsid w:val="00003FA6"/>
    <w:rsid w:val="000E3852"/>
    <w:rsid w:val="00136212"/>
    <w:rsid w:val="00143AEB"/>
    <w:rsid w:val="002D0050"/>
    <w:rsid w:val="00324789"/>
    <w:rsid w:val="00343F2F"/>
    <w:rsid w:val="003640EA"/>
    <w:rsid w:val="004B0F2E"/>
    <w:rsid w:val="006601D9"/>
    <w:rsid w:val="006C24BE"/>
    <w:rsid w:val="006E2AEC"/>
    <w:rsid w:val="00A06347"/>
    <w:rsid w:val="00A2214B"/>
    <w:rsid w:val="00A85048"/>
    <w:rsid w:val="00AF2A92"/>
    <w:rsid w:val="00C35A37"/>
    <w:rsid w:val="00C63141"/>
    <w:rsid w:val="00C74113"/>
    <w:rsid w:val="00C921BA"/>
    <w:rsid w:val="00CD62A0"/>
    <w:rsid w:val="00D17F8D"/>
    <w:rsid w:val="00D90D03"/>
    <w:rsid w:val="00DF799F"/>
    <w:rsid w:val="00E345E5"/>
    <w:rsid w:val="00E60A22"/>
    <w:rsid w:val="00EA54E7"/>
    <w:rsid w:val="00F06FC8"/>
    <w:rsid w:val="00F62825"/>
    <w:rsid w:val="12C84DAC"/>
    <w:rsid w:val="44A8366B"/>
    <w:rsid w:val="44E866E6"/>
    <w:rsid w:val="46445847"/>
    <w:rsid w:val="629D7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5A67D3A"/>
  <w15:docId w15:val="{B0709F7B-DD74-43A2-A34C-B0D543DAB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uiPriority="99" w:unhideWhenUsed="1" w:qFormat="1"/>
    <w:lsdException w:name="page number"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Theme="majorHAnsi" w:eastAsia="黑体" w:hAnsiTheme="majorHAnsi" w:cstheme="majorBidi"/>
      <w:sz w:val="20"/>
      <w:szCs w:val="20"/>
    </w:rPr>
  </w:style>
  <w:style w:type="paragraph" w:styleId="a4">
    <w:name w:val="annotation text"/>
    <w:basedOn w:val="a"/>
    <w:rPr>
      <w:sz w:val="21"/>
      <w:szCs w:val="21"/>
      <w:lang w:bidi="ar-SA"/>
    </w:rPr>
  </w:style>
  <w:style w:type="paragraph" w:styleId="a5">
    <w:name w:val="Body Text"/>
    <w:basedOn w:val="a"/>
    <w:uiPriority w:val="1"/>
    <w:qFormat/>
    <w:rPr>
      <w:rFonts w:ascii="宋体" w:hAnsi="宋体" w:cs="宋体"/>
      <w:sz w:val="21"/>
      <w:szCs w:val="21"/>
    </w:rPr>
  </w:style>
  <w:style w:type="paragraph" w:styleId="a6">
    <w:name w:val="Plain Text"/>
    <w:basedOn w:val="a"/>
    <w:qFormat/>
    <w:rPr>
      <w:rFonts w:ascii="宋体" w:hAnsi="Courier New"/>
      <w:sz w:val="21"/>
      <w:szCs w:val="21"/>
      <w:lang w:bidi="ar-SA"/>
    </w:rPr>
  </w:style>
  <w:style w:type="paragraph" w:styleId="a7">
    <w:name w:val="footer"/>
    <w:basedOn w:val="a"/>
    <w:qFormat/>
    <w:pPr>
      <w:tabs>
        <w:tab w:val="center" w:pos="4153"/>
        <w:tab w:val="right" w:pos="8306"/>
      </w:tabs>
      <w:snapToGrid w:val="0"/>
    </w:pPr>
    <w:rPr>
      <w:sz w:val="18"/>
      <w:szCs w:val="18"/>
      <w:lang w:bidi="ar-SA"/>
    </w:rPr>
  </w:style>
  <w:style w:type="paragraph" w:styleId="a8">
    <w:name w:val="header"/>
    <w:basedOn w:val="a"/>
    <w:pPr>
      <w:pBdr>
        <w:bottom w:val="single" w:sz="6" w:space="1" w:color="auto"/>
      </w:pBdr>
      <w:tabs>
        <w:tab w:val="center" w:pos="4153"/>
        <w:tab w:val="right" w:pos="8306"/>
      </w:tabs>
      <w:snapToGrid w:val="0"/>
      <w:jc w:val="center"/>
    </w:pPr>
    <w:rPr>
      <w:sz w:val="18"/>
      <w:szCs w:val="18"/>
      <w:lang w:bidi="ar-SA"/>
    </w:rPr>
  </w:style>
  <w:style w:type="table" w:styleId="a9">
    <w:name w:val="Table Grid"/>
    <w:basedOn w:val="a1"/>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qFormat/>
    <w:rPr>
      <w:rFonts w:ascii="Times New Roman" w:eastAsia="宋体" w:hAnsi="Times New Roman"/>
      <w:sz w:val="18"/>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Ab">
    <w:name w:val="正文 A"/>
    <w:qFormat/>
    <w:pPr>
      <w:widowControl w:val="0"/>
      <w:jc w:val="both"/>
    </w:pPr>
    <w:rPr>
      <w:rFonts w:eastAsia="ヒラギノ角ゴ Pro W3"/>
      <w:color w:val="000000"/>
      <w:kern w:val="2"/>
      <w:sz w:val="21"/>
      <w:szCs w:val="22"/>
    </w:rPr>
  </w:style>
  <w:style w:type="paragraph" w:customStyle="1" w:styleId="AA0">
    <w:name w:val="正文 A A"/>
    <w:qFormat/>
    <w:pPr>
      <w:widowControl w:val="0"/>
      <w:jc w:val="both"/>
    </w:pPr>
    <w:rPr>
      <w:rFonts w:eastAsia="ヒラギノ角ゴ Pro W3"/>
      <w:color w:val="000000"/>
      <w:kern w:val="2"/>
      <w:sz w:val="21"/>
      <w:szCs w:val="22"/>
    </w:rPr>
  </w:style>
  <w:style w:type="paragraph" w:styleId="ac">
    <w:name w:val="Revision"/>
    <w:hidden/>
    <w:uiPriority w:val="99"/>
    <w:unhideWhenUsed/>
    <w:rsid w:val="00C35A37"/>
    <w:rPr>
      <w:sz w:val="24"/>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51wuying</dc:creator>
  <cp:lastModifiedBy>xiaoyan du</cp:lastModifiedBy>
  <cp:revision>3</cp:revision>
  <dcterms:created xsi:type="dcterms:W3CDTF">2025-04-19T14:12:00Z</dcterms:created>
  <dcterms:modified xsi:type="dcterms:W3CDTF">2025-04-19T14:13:00Z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22688B32DC3F4585801A8E44EAD09665_12</vt:lpwstr>
  </property>
</Properties>
</file>